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EA520" w14:textId="4A237269" w:rsidR="008E0A82" w:rsidRPr="008E595C" w:rsidRDefault="008E0A82" w:rsidP="008E0A82">
      <w:pPr>
        <w:spacing w:line="276" w:lineRule="auto"/>
        <w:jc w:val="both"/>
        <w:rPr>
          <w:rFonts w:ascii="Arial" w:eastAsia="Arial Unicode MS" w:hAnsi="Arial" w:cs="Arial"/>
          <w:b/>
        </w:rPr>
      </w:pPr>
      <w:r w:rsidRPr="008E595C">
        <w:rPr>
          <w:rFonts w:ascii="Arial" w:eastAsia="Arial Unicode MS" w:hAnsi="Arial" w:cs="Arial"/>
          <w:b/>
        </w:rPr>
        <w:t>ACUERDO OGAIPO/CG/0</w:t>
      </w:r>
      <w:r w:rsidR="003847A1" w:rsidRPr="008E595C">
        <w:rPr>
          <w:rFonts w:ascii="Arial" w:eastAsia="Arial Unicode MS" w:hAnsi="Arial" w:cs="Arial"/>
          <w:b/>
        </w:rPr>
        <w:t>3</w:t>
      </w:r>
      <w:r w:rsidR="00632490" w:rsidRPr="008E595C">
        <w:rPr>
          <w:rFonts w:ascii="Arial" w:eastAsia="Arial Unicode MS" w:hAnsi="Arial" w:cs="Arial"/>
          <w:b/>
        </w:rPr>
        <w:t>1</w:t>
      </w:r>
      <w:r w:rsidRPr="008E595C">
        <w:rPr>
          <w:rFonts w:ascii="Arial" w:eastAsia="Arial Unicode MS" w:hAnsi="Arial" w:cs="Arial"/>
          <w:b/>
        </w:rPr>
        <w:t xml:space="preserve">/2023 QUE EMITE EL CONSEJO GENERAL DEL </w:t>
      </w:r>
      <w:r w:rsidRPr="008E595C">
        <w:rPr>
          <w:rFonts w:ascii="Arial" w:eastAsia="Arial Unicode MS" w:hAnsi="Arial" w:cs="Arial"/>
          <w:b/>
          <w:bCs/>
        </w:rPr>
        <w:t>ÓRGANO GARANTE DE ACCESO A LA INFORMACIÓN PÚBLICA, TRANSPARENCIA, PROTECCIÓN DE DATOS PERSONALES Y BUEN GOBIERNO DEL ESTADO DE OAXACA, MEDIANTE EL CUAL</w:t>
      </w:r>
      <w:r w:rsidR="000A4D40" w:rsidRPr="008E595C">
        <w:rPr>
          <w:rFonts w:ascii="Arial" w:eastAsia="Arial Unicode MS" w:hAnsi="Arial" w:cs="Arial"/>
          <w:b/>
          <w:bCs/>
        </w:rPr>
        <w:t xml:space="preserve">, APRUEBA </w:t>
      </w:r>
      <w:r w:rsidR="00DB5BE4" w:rsidRPr="008E595C">
        <w:rPr>
          <w:rFonts w:ascii="Arial" w:eastAsia="Arial Unicode MS" w:hAnsi="Arial" w:cs="Arial"/>
          <w:b/>
          <w:bCs/>
        </w:rPr>
        <w:t>EL CATÁLOGO DE INFORMACIÓN DE INTERÉS PÚBLICO QUE DEBERÁN DE PUBLICAR LOS SUJETOS OBLIGADOS DEL ESTADO DE OAXACA, CORRESPONDIENTE AL EJERCICIO 2022.</w:t>
      </w:r>
    </w:p>
    <w:p w14:paraId="20719F75" w14:textId="77777777" w:rsidR="008E0A82" w:rsidRPr="008E595C" w:rsidRDefault="008E0A82" w:rsidP="008E0A82">
      <w:pPr>
        <w:spacing w:line="276" w:lineRule="auto"/>
        <w:jc w:val="both"/>
        <w:rPr>
          <w:rFonts w:ascii="Arial" w:eastAsia="Arial Unicode MS" w:hAnsi="Arial" w:cs="Arial"/>
          <w:b/>
        </w:rPr>
      </w:pPr>
    </w:p>
    <w:p w14:paraId="2034F0B9" w14:textId="3BB03276" w:rsidR="009025DC" w:rsidRPr="008E595C" w:rsidRDefault="009025DC" w:rsidP="009025DC">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color w:val="000000"/>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w:t>
      </w:r>
      <w:r w:rsidR="0098469C" w:rsidRPr="008E595C">
        <w:rPr>
          <w:rFonts w:ascii="Arial" w:eastAsia="Times New Roman" w:hAnsi="Arial" w:cs="Arial"/>
          <w:color w:val="000000"/>
          <w:lang w:eastAsia="es-MX"/>
        </w:rPr>
        <w:t>I</w:t>
      </w:r>
      <w:r w:rsidRPr="008E595C">
        <w:rPr>
          <w:rFonts w:ascii="Arial" w:eastAsia="Times New Roman" w:hAnsi="Arial" w:cs="Arial"/>
          <w:color w:val="000000"/>
          <w:lang w:eastAsia="es-MX"/>
        </w:rPr>
        <w:t xml:space="preserve">, inciso </w:t>
      </w:r>
      <w:r w:rsidR="00B21F95" w:rsidRPr="008E595C">
        <w:rPr>
          <w:rFonts w:ascii="Arial" w:eastAsia="Times New Roman" w:hAnsi="Arial" w:cs="Arial"/>
          <w:color w:val="000000"/>
          <w:lang w:eastAsia="es-MX"/>
        </w:rPr>
        <w:t>i</w:t>
      </w:r>
      <w:r w:rsidR="00E4352C" w:rsidRPr="008E595C">
        <w:rPr>
          <w:rFonts w:ascii="Arial" w:eastAsia="Times New Roman" w:hAnsi="Arial" w:cs="Arial"/>
          <w:color w:val="000000"/>
          <w:lang w:eastAsia="es-MX"/>
        </w:rPr>
        <w:t>)</w:t>
      </w:r>
      <w:r w:rsidRPr="008E595C">
        <w:rPr>
          <w:rFonts w:ascii="Arial" w:eastAsia="Times New Roman" w:hAnsi="Arial" w:cs="Arial"/>
          <w:color w:val="000000"/>
          <w:lang w:eastAsia="es-MX"/>
        </w:rPr>
        <w:t xml:space="preserve"> de la Ley de Transparencia, Acceso a la Información Pública y Buen Gobierno del Estado de Oaxaca y 5 fracci</w:t>
      </w:r>
      <w:r w:rsidR="00E4352C" w:rsidRPr="008E595C">
        <w:rPr>
          <w:rFonts w:ascii="Arial" w:eastAsia="Times New Roman" w:hAnsi="Arial" w:cs="Arial"/>
          <w:color w:val="000000"/>
          <w:lang w:eastAsia="es-MX"/>
        </w:rPr>
        <w:t>ón I</w:t>
      </w:r>
      <w:r w:rsidRPr="008E595C">
        <w:rPr>
          <w:rFonts w:ascii="Arial" w:eastAsia="Times New Roman" w:hAnsi="Arial" w:cs="Arial"/>
          <w:color w:val="000000"/>
          <w:lang w:eastAsia="es-MX"/>
        </w:rPr>
        <w:t xml:space="preserve"> del Reglamento Interno del Órgano Garante de Acceso a la Información Pública, Transparencia, Protección de Datos Personales y Buen Gobierno del Estado de Oaxaca, se emite el presente acuerdo tomando en cuenta los siguientes:</w:t>
      </w:r>
    </w:p>
    <w:p w14:paraId="2A039FC2"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p>
    <w:p w14:paraId="681491F1" w14:textId="77777777" w:rsidR="009025DC" w:rsidRPr="008E595C" w:rsidRDefault="009025DC" w:rsidP="009025DC">
      <w:pPr>
        <w:shd w:val="clear" w:color="auto" w:fill="FFFFFF"/>
        <w:spacing w:line="276" w:lineRule="auto"/>
        <w:jc w:val="center"/>
        <w:rPr>
          <w:rFonts w:ascii="Arial" w:eastAsia="Times New Roman" w:hAnsi="Arial" w:cs="Arial"/>
          <w:b/>
          <w:color w:val="000000"/>
          <w:lang w:eastAsia="es-MX"/>
        </w:rPr>
      </w:pPr>
      <w:r w:rsidRPr="008E595C">
        <w:rPr>
          <w:rFonts w:ascii="Arial" w:eastAsia="Times New Roman" w:hAnsi="Arial" w:cs="Arial"/>
          <w:b/>
          <w:color w:val="000000"/>
          <w:lang w:eastAsia="es-MX"/>
        </w:rPr>
        <w:t>A N T E C E D E N T E S</w:t>
      </w:r>
    </w:p>
    <w:p w14:paraId="782FBACA" w14:textId="77777777" w:rsidR="009025DC" w:rsidRPr="008E595C" w:rsidRDefault="009025DC" w:rsidP="009025DC">
      <w:pPr>
        <w:shd w:val="clear" w:color="auto" w:fill="FFFFFF"/>
        <w:spacing w:line="276" w:lineRule="auto"/>
        <w:jc w:val="center"/>
        <w:rPr>
          <w:rFonts w:ascii="Arial" w:eastAsia="Times New Roman" w:hAnsi="Arial" w:cs="Arial"/>
          <w:b/>
          <w:color w:val="000000"/>
          <w:lang w:eastAsia="es-MX"/>
        </w:rPr>
      </w:pPr>
    </w:p>
    <w:p w14:paraId="5A1DDB55"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b/>
          <w:color w:val="000000"/>
          <w:lang w:eastAsia="es-MX"/>
        </w:rPr>
        <w:t>PRIMERO.</w:t>
      </w:r>
      <w:r w:rsidRPr="008E595C">
        <w:rPr>
          <w:rFonts w:ascii="Arial" w:eastAsia="Times New Roman" w:hAnsi="Arial" w:cs="Arial"/>
          <w:color w:val="000000"/>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p>
    <w:p w14:paraId="467420C6"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p>
    <w:p w14:paraId="701A1E0C"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b/>
          <w:color w:val="000000"/>
          <w:lang w:eastAsia="es-MX"/>
        </w:rPr>
        <w:t>SEGUNDO.</w:t>
      </w:r>
      <w:r w:rsidRPr="008E595C">
        <w:rPr>
          <w:rFonts w:ascii="Arial" w:eastAsia="Times New Roman" w:hAnsi="Arial" w:cs="Arial"/>
          <w:color w:val="000000"/>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w:t>
      </w:r>
    </w:p>
    <w:p w14:paraId="34FFB58F"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p>
    <w:p w14:paraId="50E50AE3"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color w:val="000000"/>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p>
    <w:p w14:paraId="7DDF7B6E"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p>
    <w:p w14:paraId="018F2A6B"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b/>
          <w:color w:val="000000"/>
          <w:lang w:eastAsia="es-MX"/>
        </w:rPr>
        <w:lastRenderedPageBreak/>
        <w:t>TERCERO.</w:t>
      </w:r>
      <w:r w:rsidRPr="008E595C">
        <w:rPr>
          <w:rFonts w:ascii="Arial" w:eastAsia="Times New Roman" w:hAnsi="Arial" w:cs="Arial"/>
          <w:color w:val="000000"/>
          <w:lang w:eastAsia="es-MX"/>
        </w:rPr>
        <w:t xml:space="preserve">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p>
    <w:p w14:paraId="6C5AFD4C"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p>
    <w:p w14:paraId="79B42FD0"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b/>
          <w:color w:val="000000"/>
          <w:lang w:eastAsia="es-MX"/>
        </w:rPr>
        <w:t>CUARTO.</w:t>
      </w:r>
      <w:r w:rsidRPr="008E595C">
        <w:rPr>
          <w:rFonts w:ascii="Arial" w:eastAsia="Times New Roman" w:hAnsi="Arial" w:cs="Arial"/>
          <w:color w:val="000000"/>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p>
    <w:p w14:paraId="109B36D3"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p>
    <w:p w14:paraId="2D9304A9"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color w:val="000000"/>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p>
    <w:p w14:paraId="7C269039" w14:textId="77777777" w:rsidR="009025DC" w:rsidRPr="008E595C" w:rsidRDefault="009025DC" w:rsidP="009025DC">
      <w:pPr>
        <w:shd w:val="clear" w:color="auto" w:fill="FFFFFF"/>
        <w:spacing w:line="276" w:lineRule="auto"/>
        <w:jc w:val="both"/>
        <w:rPr>
          <w:rFonts w:ascii="Arial" w:eastAsia="Times New Roman" w:hAnsi="Arial" w:cs="Arial"/>
          <w:color w:val="000000"/>
          <w:lang w:eastAsia="es-MX"/>
        </w:rPr>
      </w:pPr>
    </w:p>
    <w:p w14:paraId="2CCF4BC7" w14:textId="64A68580" w:rsidR="00274D25" w:rsidRPr="008E595C" w:rsidRDefault="009025DC" w:rsidP="00283C15">
      <w:pPr>
        <w:shd w:val="clear" w:color="auto" w:fill="FFFFFF"/>
        <w:spacing w:line="276" w:lineRule="auto"/>
        <w:jc w:val="both"/>
        <w:rPr>
          <w:rFonts w:ascii="Arial" w:eastAsia="Times New Roman" w:hAnsi="Arial" w:cs="Arial"/>
          <w:b/>
          <w:color w:val="000000"/>
          <w:lang w:eastAsia="es-MX"/>
        </w:rPr>
      </w:pPr>
      <w:r w:rsidRPr="008E595C">
        <w:rPr>
          <w:rFonts w:ascii="Arial" w:eastAsia="Times New Roman" w:hAnsi="Arial" w:cs="Arial"/>
          <w:b/>
          <w:color w:val="000000"/>
          <w:lang w:eastAsia="es-MX"/>
        </w:rPr>
        <w:t>QUINTO.</w:t>
      </w:r>
      <w:r w:rsidRPr="008E595C">
        <w:rPr>
          <w:rFonts w:ascii="Arial" w:eastAsia="Times New Roman" w:hAnsi="Arial" w:cs="Arial"/>
          <w:color w:val="000000"/>
          <w:lang w:eastAsia="es-MX"/>
        </w:rPr>
        <w:t xml:space="preserve"> </w:t>
      </w:r>
      <w:r w:rsidR="00274D25" w:rsidRPr="008E595C">
        <w:rPr>
          <w:rFonts w:ascii="Arial" w:eastAsia="Times New Roman" w:hAnsi="Arial" w:cs="Arial"/>
          <w:color w:val="000000"/>
          <w:lang w:eastAsia="es-MX"/>
        </w:rPr>
        <w:t xml:space="preserve">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w:t>
      </w:r>
      <w:r w:rsidR="00421559" w:rsidRPr="008E595C">
        <w:rPr>
          <w:rFonts w:ascii="Arial" w:eastAsia="Times New Roman" w:hAnsi="Arial" w:cs="Arial"/>
          <w:color w:val="000000"/>
          <w:lang w:eastAsia="es-MX"/>
        </w:rPr>
        <w:t>veintisiete</w:t>
      </w:r>
      <w:r w:rsidR="00274D25" w:rsidRPr="008E595C">
        <w:rPr>
          <w:rFonts w:ascii="Arial" w:eastAsia="Times New Roman" w:hAnsi="Arial" w:cs="Arial"/>
          <w:color w:val="000000"/>
          <w:lang w:eastAsia="es-MX"/>
        </w:rPr>
        <w:t xml:space="preserve"> de octubre del presente año</w:t>
      </w:r>
      <w:r w:rsidR="006E4138" w:rsidRPr="008E595C">
        <w:rPr>
          <w:rFonts w:ascii="Arial" w:eastAsia="Times New Roman" w:hAnsi="Arial" w:cs="Arial"/>
          <w:color w:val="000000"/>
          <w:lang w:eastAsia="es-MX"/>
        </w:rPr>
        <w:t>, y</w:t>
      </w:r>
    </w:p>
    <w:p w14:paraId="4DCCAA8C" w14:textId="77777777" w:rsidR="008E0A82" w:rsidRPr="008E595C" w:rsidRDefault="008E0A82" w:rsidP="008E0A82">
      <w:pPr>
        <w:spacing w:line="276" w:lineRule="auto"/>
        <w:rPr>
          <w:rFonts w:ascii="Arial" w:eastAsia="Arial Unicode MS" w:hAnsi="Arial" w:cs="Arial"/>
          <w:b/>
        </w:rPr>
      </w:pPr>
    </w:p>
    <w:p w14:paraId="3FB78F5B" w14:textId="39083C6D" w:rsidR="008E0A82" w:rsidRPr="008E595C" w:rsidRDefault="008E0A82" w:rsidP="008E0A82">
      <w:pPr>
        <w:spacing w:line="276" w:lineRule="auto"/>
        <w:jc w:val="center"/>
        <w:rPr>
          <w:rFonts w:ascii="Arial" w:eastAsia="Arial Unicode MS" w:hAnsi="Arial" w:cs="Arial"/>
          <w:b/>
        </w:rPr>
      </w:pPr>
      <w:r w:rsidRPr="008E595C">
        <w:rPr>
          <w:rFonts w:ascii="Arial" w:eastAsia="Arial Unicode MS" w:hAnsi="Arial" w:cs="Arial"/>
          <w:b/>
        </w:rPr>
        <w:t>C O N S I D E R A N D O:</w:t>
      </w:r>
    </w:p>
    <w:p w14:paraId="00036F61" w14:textId="77777777" w:rsidR="008E0A82" w:rsidRPr="008E595C" w:rsidRDefault="008E0A82" w:rsidP="008E0A82">
      <w:pPr>
        <w:pStyle w:val="Prrafodelista"/>
        <w:spacing w:line="276" w:lineRule="auto"/>
        <w:ind w:left="0"/>
        <w:rPr>
          <w:rFonts w:ascii="Arial" w:hAnsi="Arial" w:cs="Arial"/>
        </w:rPr>
      </w:pPr>
    </w:p>
    <w:p w14:paraId="230C83D4" w14:textId="17BF8619" w:rsidR="00CD2F68" w:rsidRPr="008E595C" w:rsidRDefault="00CD2F68" w:rsidP="00CD2F68">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b/>
          <w:color w:val="000000"/>
          <w:lang w:eastAsia="es-MX"/>
        </w:rPr>
        <w:t>PRIMERO.</w:t>
      </w:r>
      <w:r w:rsidRPr="008E595C">
        <w:rPr>
          <w:rFonts w:ascii="Arial" w:eastAsia="Times New Roman" w:hAnsi="Arial" w:cs="Arial"/>
          <w:color w:val="000000"/>
          <w:lang w:eastAsia="es-MX"/>
        </w:rPr>
        <w:t xml:space="preserve"> Que, </w:t>
      </w:r>
      <w:r w:rsidR="00B21F95" w:rsidRPr="008E595C">
        <w:rPr>
          <w:rFonts w:ascii="Arial" w:eastAsia="Times New Roman" w:hAnsi="Arial" w:cs="Arial"/>
          <w:color w:val="000000"/>
          <w:lang w:eastAsia="es-MX"/>
        </w:rPr>
        <w:t xml:space="preserve">con </w:t>
      </w:r>
      <w:r w:rsidRPr="008E595C">
        <w:rPr>
          <w:rFonts w:ascii="Arial" w:eastAsia="Times New Roman" w:hAnsi="Arial" w:cs="Arial"/>
          <w:color w:val="000000"/>
          <w:lang w:eastAsia="es-MX"/>
        </w:rPr>
        <w:t xml:space="preserve">fundamento en </w:t>
      </w:r>
      <w:r w:rsidR="00B21F95" w:rsidRPr="008E595C">
        <w:rPr>
          <w:rFonts w:ascii="Arial" w:eastAsia="Times New Roman" w:hAnsi="Arial" w:cs="Arial"/>
          <w:color w:val="000000"/>
          <w:lang w:eastAsia="es-MX"/>
        </w:rPr>
        <w:t>el</w:t>
      </w:r>
      <w:r w:rsidRPr="008E595C">
        <w:rPr>
          <w:rFonts w:ascii="Arial" w:eastAsia="Times New Roman" w:hAnsi="Arial" w:cs="Arial"/>
          <w:color w:val="000000"/>
          <w:lang w:eastAsia="es-MX"/>
        </w:rPr>
        <w:t xml:space="preserve"> artículo </w:t>
      </w:r>
      <w:r w:rsidR="00B21F95" w:rsidRPr="008E595C">
        <w:rPr>
          <w:rFonts w:ascii="Arial" w:eastAsia="Times New Roman" w:hAnsi="Arial" w:cs="Arial"/>
          <w:color w:val="000000"/>
          <w:lang w:eastAsia="es-MX"/>
        </w:rPr>
        <w:t>70 fracción XLVIII, de la Ley General de Transparencia y Acceso a la Información Pública, se establece la obligación de los Sujetos Obligados de poner a disposición y mantener actualizada cualquier otra información que sea de utilidad o se considere relevante, además de la que, con base en la información estadística, responda a las preguntas hechas con más frecuencia por el público</w:t>
      </w:r>
      <w:r w:rsidR="005B5E62" w:rsidRPr="008E595C">
        <w:rPr>
          <w:rFonts w:ascii="Arial" w:eastAsia="Times New Roman" w:hAnsi="Arial" w:cs="Arial"/>
          <w:color w:val="000000"/>
          <w:lang w:eastAsia="es-MX"/>
        </w:rPr>
        <w:t xml:space="preserve"> en general</w:t>
      </w:r>
      <w:r w:rsidR="00B21F95" w:rsidRPr="008E595C">
        <w:rPr>
          <w:rFonts w:ascii="Arial" w:eastAsia="Times New Roman" w:hAnsi="Arial" w:cs="Arial"/>
          <w:color w:val="000000"/>
          <w:lang w:eastAsia="es-MX"/>
        </w:rPr>
        <w:t>.</w:t>
      </w:r>
    </w:p>
    <w:p w14:paraId="322A31A9"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17BFEB7A" w14:textId="59C1A3C3" w:rsidR="00CD2F68" w:rsidRPr="008E595C" w:rsidRDefault="00CD2F68" w:rsidP="005B5E62">
      <w:pPr>
        <w:spacing w:line="276" w:lineRule="auto"/>
        <w:jc w:val="both"/>
        <w:rPr>
          <w:rFonts w:ascii="Arial" w:eastAsia="Arial Unicode MS" w:hAnsi="Arial" w:cs="Arial"/>
        </w:rPr>
      </w:pPr>
      <w:r w:rsidRPr="008E595C">
        <w:rPr>
          <w:rFonts w:ascii="Arial" w:eastAsia="Times New Roman" w:hAnsi="Arial" w:cs="Arial"/>
          <w:b/>
          <w:color w:val="000000"/>
          <w:lang w:eastAsia="es-MX"/>
        </w:rPr>
        <w:t>SEGUNDO.</w:t>
      </w:r>
      <w:r w:rsidRPr="008E595C">
        <w:rPr>
          <w:rFonts w:ascii="Arial" w:eastAsia="Times New Roman" w:hAnsi="Arial" w:cs="Arial"/>
          <w:color w:val="000000"/>
          <w:lang w:eastAsia="es-MX"/>
        </w:rPr>
        <w:t xml:space="preserve"> </w:t>
      </w:r>
      <w:r w:rsidRPr="008E595C">
        <w:rPr>
          <w:rFonts w:ascii="Arial" w:eastAsia="Arial Unicode MS" w:hAnsi="Arial" w:cs="Arial"/>
        </w:rPr>
        <w:t xml:space="preserve">Que, </w:t>
      </w:r>
      <w:r w:rsidR="005B5E62" w:rsidRPr="008E595C">
        <w:rPr>
          <w:rFonts w:ascii="Arial" w:eastAsia="Arial Unicode MS" w:hAnsi="Arial" w:cs="Arial"/>
        </w:rPr>
        <w:t>en observancia al artículo 80 de la Ley General de Transparencia y Acceso a la Información Pública, se provee que para determinar la información adicional que publicarán los Sujetos Obligados de manera obligatoria, los Organismos Garantes deberán solicitarles que, atendiendo a los Lineamientos que emita el Sistema Nacional de Transparencia, remitan el listado de información que consideren de interés público a fin de que se pueda revisar el listado que remitió el sujeto obligado con base en las funciones, atribuciones y competencias que la normatividad aplicable le otorgue y determinar el catálogo de información que cada sujeto obligado deberá publicar como obligación de transparencia.</w:t>
      </w:r>
    </w:p>
    <w:p w14:paraId="38B95AF2" w14:textId="77777777" w:rsidR="00CD2F68" w:rsidRPr="008E595C" w:rsidRDefault="00CD2F68" w:rsidP="00CD2F68">
      <w:pPr>
        <w:spacing w:line="276" w:lineRule="auto"/>
        <w:jc w:val="both"/>
        <w:rPr>
          <w:rFonts w:ascii="Arial" w:eastAsia="Arial Unicode MS" w:hAnsi="Arial" w:cs="Arial"/>
          <w:lang w:val="es-ES"/>
        </w:rPr>
      </w:pPr>
    </w:p>
    <w:p w14:paraId="0B638061" w14:textId="77777777" w:rsidR="00F314BA" w:rsidRPr="008E595C" w:rsidRDefault="00CD2F68" w:rsidP="00F314BA">
      <w:pPr>
        <w:spacing w:line="276" w:lineRule="auto"/>
        <w:jc w:val="both"/>
        <w:rPr>
          <w:rFonts w:ascii="Arial" w:eastAsia="Arial Unicode MS" w:hAnsi="Arial" w:cs="Arial"/>
        </w:rPr>
      </w:pPr>
      <w:r w:rsidRPr="008E595C">
        <w:rPr>
          <w:rFonts w:ascii="Arial" w:eastAsia="Arial Unicode MS" w:hAnsi="Arial" w:cs="Arial"/>
          <w:b/>
          <w:lang w:val="es-ES"/>
        </w:rPr>
        <w:t>TERCERO.</w:t>
      </w:r>
      <w:r w:rsidRPr="008E595C">
        <w:rPr>
          <w:rFonts w:ascii="Arial" w:eastAsia="Arial Unicode MS" w:hAnsi="Arial" w:cs="Arial"/>
          <w:lang w:val="es-ES"/>
        </w:rPr>
        <w:t xml:space="preserve"> </w:t>
      </w:r>
      <w:r w:rsidR="00F314BA" w:rsidRPr="008E595C">
        <w:rPr>
          <w:rFonts w:ascii="Arial" w:eastAsia="Arial Unicode MS" w:hAnsi="Arial" w:cs="Arial"/>
          <w:lang w:val="es-ES"/>
        </w:rPr>
        <w:t xml:space="preserve">Que, la </w:t>
      </w:r>
      <w:r w:rsidR="00F314BA" w:rsidRPr="008E595C">
        <w:rPr>
          <w:rFonts w:ascii="Arial" w:eastAsia="Arial Unicode MS" w:hAnsi="Arial" w:cs="Arial"/>
        </w:rPr>
        <w:t>Ley de Transparencia, Acceso a la Información Pública y Buen Gobierno del Estado de Oaxaca</w:t>
      </w:r>
      <w:r w:rsidR="00F314BA" w:rsidRPr="008E595C">
        <w:rPr>
          <w:rFonts w:ascii="Arial" w:eastAsia="Arial Unicode MS" w:hAnsi="Arial" w:cs="Arial"/>
          <w:lang w:val="es-ES"/>
        </w:rPr>
        <w:t xml:space="preserve">, establece en su artículo 37 segundo párrafo, que el </w:t>
      </w:r>
      <w:r w:rsidR="00F314BA" w:rsidRPr="008E595C">
        <w:rPr>
          <w:rFonts w:ascii="Arial" w:eastAsia="Arial Unicode MS" w:hAnsi="Arial" w:cs="Arial"/>
        </w:rPr>
        <w:t>Órgano Garante a fin de determinar la información adicional que publicarán los sujetos obligados del Estado, les requerirá semestralmente el listado de información que de acuerdo a sus funciones, atribuciones y competencias consideren de interés público.</w:t>
      </w:r>
    </w:p>
    <w:p w14:paraId="0340CE07" w14:textId="77777777" w:rsidR="00F314BA" w:rsidRPr="008E595C" w:rsidRDefault="00F314BA" w:rsidP="00F314BA">
      <w:pPr>
        <w:spacing w:line="276" w:lineRule="auto"/>
        <w:jc w:val="both"/>
        <w:rPr>
          <w:rFonts w:ascii="Arial" w:eastAsia="Arial Unicode MS" w:hAnsi="Arial" w:cs="Arial"/>
          <w:lang w:val="es-ES"/>
        </w:rPr>
      </w:pPr>
    </w:p>
    <w:p w14:paraId="682C8C47" w14:textId="77777777" w:rsidR="00F314BA" w:rsidRPr="008E595C" w:rsidRDefault="00F314BA" w:rsidP="00F314BA">
      <w:pPr>
        <w:spacing w:line="276" w:lineRule="auto"/>
        <w:jc w:val="both"/>
        <w:rPr>
          <w:rFonts w:ascii="Arial" w:eastAsia="Arial Unicode MS" w:hAnsi="Arial" w:cs="Arial"/>
        </w:rPr>
      </w:pPr>
      <w:r w:rsidRPr="008E595C">
        <w:rPr>
          <w:rFonts w:ascii="Arial" w:eastAsia="Arial Unicode MS" w:hAnsi="Arial" w:cs="Arial"/>
          <w:lang w:val="es-ES"/>
        </w:rPr>
        <w:t xml:space="preserve">Así mismo, determina en el </w:t>
      </w:r>
      <w:r w:rsidRPr="008E595C">
        <w:rPr>
          <w:rFonts w:ascii="Arial" w:eastAsia="Arial Unicode MS" w:hAnsi="Arial" w:cs="Arial"/>
        </w:rPr>
        <w:t>artículo 93 fracción II, inciso i, que el Órgano Garante en materia normativa establecerá las políticas de transparencia proactiva atendiendo a las condiciones económicas sociales y culturales.</w:t>
      </w:r>
    </w:p>
    <w:p w14:paraId="0CE06835" w14:textId="77777777" w:rsidR="005B5E62" w:rsidRPr="008E595C" w:rsidRDefault="005B5E62" w:rsidP="005B5E62">
      <w:pPr>
        <w:spacing w:line="276" w:lineRule="auto"/>
        <w:jc w:val="both"/>
        <w:rPr>
          <w:rFonts w:ascii="Arial" w:eastAsia="Times New Roman" w:hAnsi="Arial" w:cs="Arial"/>
          <w:color w:val="000000"/>
          <w:lang w:eastAsia="es-MX"/>
        </w:rPr>
      </w:pPr>
    </w:p>
    <w:p w14:paraId="5C2250B9" w14:textId="42ABCA5C" w:rsidR="00D16F01" w:rsidRPr="008E595C" w:rsidRDefault="00CD2F68" w:rsidP="00F314BA">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b/>
          <w:color w:val="000000"/>
          <w:lang w:eastAsia="es-MX"/>
        </w:rPr>
        <w:t>CUARTO.</w:t>
      </w:r>
      <w:r w:rsidRPr="008E595C">
        <w:rPr>
          <w:rFonts w:ascii="Arial" w:eastAsia="Times New Roman" w:hAnsi="Arial" w:cs="Arial"/>
          <w:color w:val="000000"/>
          <w:lang w:eastAsia="es-MX"/>
        </w:rPr>
        <w:t xml:space="preserve"> </w:t>
      </w:r>
      <w:r w:rsidR="00F314BA" w:rsidRPr="008E595C">
        <w:rPr>
          <w:rFonts w:ascii="Arial" w:eastAsia="Times New Roman" w:hAnsi="Arial" w:cs="Arial"/>
          <w:color w:val="000000"/>
          <w:lang w:val="es-ES" w:eastAsia="es-MX"/>
        </w:rPr>
        <w:t xml:space="preserve">Que, </w:t>
      </w:r>
      <w:r w:rsidR="00F314BA" w:rsidRPr="008E595C">
        <w:rPr>
          <w:rFonts w:ascii="Arial" w:eastAsia="Times New Roman" w:hAnsi="Arial" w:cs="Arial"/>
          <w:color w:val="000000"/>
          <w:lang w:eastAsia="es-MX"/>
        </w:rPr>
        <w:t xml:space="preserve">los numerales Décimo Primero, Décimo Segundo, Décimo Tercero y Décimo Cuarto de los </w:t>
      </w:r>
      <w:r w:rsidR="00F314BA" w:rsidRPr="008E595C">
        <w:rPr>
          <w:rFonts w:ascii="Arial" w:eastAsia="Times New Roman" w:hAnsi="Arial" w:cs="Arial"/>
          <w:i/>
          <w:iCs/>
          <w:color w:val="000000"/>
          <w:lang w:eastAsia="es-MX"/>
        </w:rPr>
        <w:t>Lineamientos para determinar los catálogos y publicación de Información de Interés Público; y para la emisión y evaluación de Políticas de Transparencia Proactiva</w:t>
      </w:r>
      <w:r w:rsidR="00F314BA" w:rsidRPr="008E595C">
        <w:rPr>
          <w:rFonts w:ascii="Arial" w:eastAsia="Times New Roman" w:hAnsi="Arial" w:cs="Arial"/>
          <w:color w:val="000000"/>
          <w:lang w:eastAsia="es-MX"/>
        </w:rPr>
        <w:t>, establecen el procedimiento por el cual el Órgano Garante deberá solicitar y dictaminar la información de interés púbico de los Sujetos Obligados del Estado de Oaxaca.</w:t>
      </w:r>
    </w:p>
    <w:p w14:paraId="6FF131FB" w14:textId="77777777" w:rsidR="00CD2F68" w:rsidRPr="008E595C" w:rsidRDefault="00CD2F68" w:rsidP="00CD2F68">
      <w:pPr>
        <w:shd w:val="clear" w:color="auto" w:fill="FFFFFF"/>
        <w:spacing w:line="276" w:lineRule="auto"/>
        <w:jc w:val="both"/>
        <w:rPr>
          <w:rFonts w:ascii="Arial" w:eastAsia="Times New Roman" w:hAnsi="Arial" w:cs="Arial"/>
          <w:b/>
          <w:color w:val="000000"/>
          <w:lang w:eastAsia="es-MX"/>
        </w:rPr>
      </w:pPr>
    </w:p>
    <w:p w14:paraId="5CAA3CE7" w14:textId="27614EF3" w:rsidR="00F314BA" w:rsidRPr="008E595C" w:rsidRDefault="00CD2F68" w:rsidP="00F314BA">
      <w:pPr>
        <w:shd w:val="clear" w:color="auto" w:fill="FFFFFF"/>
        <w:spacing w:line="276" w:lineRule="auto"/>
        <w:jc w:val="both"/>
        <w:rPr>
          <w:rFonts w:ascii="Arial" w:eastAsia="Times New Roman" w:hAnsi="Arial" w:cs="Arial"/>
          <w:bCs/>
          <w:color w:val="000000"/>
          <w:lang w:eastAsia="es-MX"/>
        </w:rPr>
      </w:pPr>
      <w:r w:rsidRPr="008E595C">
        <w:rPr>
          <w:rFonts w:ascii="Arial" w:eastAsia="Times New Roman" w:hAnsi="Arial" w:cs="Arial"/>
          <w:b/>
          <w:color w:val="000000"/>
          <w:lang w:eastAsia="es-MX"/>
        </w:rPr>
        <w:t>QUINTO.</w:t>
      </w:r>
      <w:r w:rsidRPr="008E595C">
        <w:rPr>
          <w:rFonts w:ascii="Arial" w:eastAsia="Times New Roman" w:hAnsi="Arial" w:cs="Arial"/>
          <w:bCs/>
          <w:color w:val="000000"/>
          <w:lang w:eastAsia="es-MX"/>
        </w:rPr>
        <w:t xml:space="preserve"> </w:t>
      </w:r>
      <w:r w:rsidR="00F314BA" w:rsidRPr="008E595C">
        <w:rPr>
          <w:rFonts w:ascii="Arial" w:eastAsia="Times New Roman" w:hAnsi="Arial" w:cs="Arial"/>
          <w:bCs/>
          <w:color w:val="000000"/>
          <w:lang w:eastAsia="es-MX"/>
        </w:rPr>
        <w:t>Que, en cumplimiento del contenido del artículo 5 fracciones XIII y XXVII del Reglamento Interno del Órgano Garante, es facultad del Consejo General del Órgano Garante aprobar los criterios específicos en materia de gobierno abierto y transparencia proactiva de los sujetos obligados del Estado de Oaxaca.</w:t>
      </w:r>
    </w:p>
    <w:p w14:paraId="275A8870" w14:textId="77777777" w:rsidR="00E03CF7" w:rsidRPr="008E595C" w:rsidRDefault="00E03CF7" w:rsidP="00CD2F68">
      <w:pPr>
        <w:shd w:val="clear" w:color="auto" w:fill="FFFFFF"/>
        <w:spacing w:line="276" w:lineRule="auto"/>
        <w:jc w:val="both"/>
        <w:rPr>
          <w:rFonts w:ascii="Arial" w:eastAsia="Times New Roman" w:hAnsi="Arial" w:cs="Arial"/>
          <w:color w:val="000000"/>
          <w:lang w:eastAsia="es-MX"/>
        </w:rPr>
      </w:pPr>
    </w:p>
    <w:p w14:paraId="0674D942" w14:textId="45398F43" w:rsidR="007D60EA" w:rsidRPr="008E595C" w:rsidRDefault="00CD2F68" w:rsidP="007D60EA">
      <w:pPr>
        <w:shd w:val="clear" w:color="auto" w:fill="FFFFFF"/>
        <w:spacing w:line="276" w:lineRule="auto"/>
        <w:jc w:val="both"/>
        <w:rPr>
          <w:rFonts w:ascii="Arial" w:eastAsia="Times New Roman" w:hAnsi="Arial" w:cs="Arial"/>
          <w:bCs/>
          <w:color w:val="000000"/>
          <w:lang w:eastAsia="es-MX"/>
        </w:rPr>
      </w:pPr>
      <w:r w:rsidRPr="008E595C">
        <w:rPr>
          <w:rFonts w:ascii="Arial" w:eastAsia="Times New Roman" w:hAnsi="Arial" w:cs="Arial"/>
          <w:b/>
          <w:color w:val="000000"/>
          <w:lang w:eastAsia="es-MX"/>
        </w:rPr>
        <w:t>SEXTO.</w:t>
      </w:r>
      <w:r w:rsidRPr="008E595C">
        <w:rPr>
          <w:rFonts w:ascii="Arial" w:eastAsia="Times New Roman" w:hAnsi="Arial" w:cs="Arial"/>
          <w:color w:val="000000"/>
          <w:lang w:eastAsia="es-MX"/>
        </w:rPr>
        <w:t xml:space="preserve"> </w:t>
      </w:r>
      <w:r w:rsidR="007D60EA" w:rsidRPr="008E595C">
        <w:rPr>
          <w:rFonts w:ascii="Arial" w:eastAsia="Times New Roman" w:hAnsi="Arial" w:cs="Arial"/>
          <w:bCs/>
          <w:color w:val="000000"/>
          <w:lang w:eastAsia="es-MX"/>
        </w:rPr>
        <w:t>Que mediante los oficios de referencia: OGAIPO/DGA/193/2022, OGAIPO/DGA/194/2022, OGAIPO/DGA/001/2023 y OGAIPO/DGA/002/2023 suscritos por el Comisionado Presidente del Consejo General del Órgano Garante, se emitió el requerimiento a todos los Titulares y Responsables de las Unidades de Transparencia de los Sujetos Obligados del Estado de Oaxaca, incluyendo a las unidades administrativas del Órgano Garante, para que a más tardar el treinta y uno de enero de dos mil veintitrés, remitieran el catálogo de información de interés público susceptible de ser dictaminado como tal por este Órgano Garante; comunicado que fue notificado a través de las cuentas de correo electrónico proporcionadas por los Sujetos Obligados.</w:t>
      </w:r>
    </w:p>
    <w:p w14:paraId="4BBF79A4" w14:textId="77777777" w:rsidR="007D60EA" w:rsidRPr="008E595C" w:rsidRDefault="007D60EA" w:rsidP="007D60EA">
      <w:pPr>
        <w:shd w:val="clear" w:color="auto" w:fill="FFFFFF"/>
        <w:spacing w:line="276" w:lineRule="auto"/>
        <w:jc w:val="both"/>
        <w:rPr>
          <w:rFonts w:ascii="Arial" w:eastAsia="Times New Roman" w:hAnsi="Arial" w:cs="Arial"/>
          <w:bCs/>
          <w:color w:val="000000"/>
          <w:lang w:eastAsia="es-MX"/>
        </w:rPr>
      </w:pPr>
    </w:p>
    <w:p w14:paraId="77105854" w14:textId="1947B5D0" w:rsidR="00E03CF7" w:rsidRPr="008E595C" w:rsidRDefault="007D60EA" w:rsidP="00F314BA">
      <w:pPr>
        <w:shd w:val="clear" w:color="auto" w:fill="FFFFFF"/>
        <w:spacing w:line="276" w:lineRule="auto"/>
        <w:jc w:val="both"/>
        <w:rPr>
          <w:rFonts w:ascii="Arial" w:eastAsia="Times New Roman" w:hAnsi="Arial" w:cs="Arial"/>
          <w:bCs/>
          <w:color w:val="000000"/>
          <w:lang w:eastAsia="es-MX"/>
        </w:rPr>
      </w:pPr>
      <w:r w:rsidRPr="008E595C">
        <w:rPr>
          <w:rFonts w:ascii="Arial" w:eastAsia="Times New Roman" w:hAnsi="Arial" w:cs="Arial"/>
          <w:bCs/>
          <w:color w:val="000000"/>
          <w:lang w:eastAsia="es-MX"/>
        </w:rPr>
        <w:t>Aunado a lo anterior, para lograr una mayor difusión entre los Sujetos Obligados a los que les fue notificado vía correo electrónico, y sobre todo, para aquellos de los que no se tiene canal de comunicación institucional digital, por no contar con las condiciones tecnológicas necesarias, o bien, para aquellos Sujetos Obligados que hubieren sido renovados o designados nuevos titulares, los requerimientos fueron publicados en el portal institucional, así como en las cuentas de redes sociales de este Órgano Garante.</w:t>
      </w:r>
    </w:p>
    <w:p w14:paraId="74DECA51" w14:textId="3E474D12" w:rsidR="00CD2F68" w:rsidRPr="008E595C" w:rsidRDefault="00CD2F68" w:rsidP="00E03CF7">
      <w:pPr>
        <w:shd w:val="clear" w:color="auto" w:fill="FFFFFF"/>
        <w:spacing w:line="276" w:lineRule="auto"/>
        <w:jc w:val="center"/>
        <w:rPr>
          <w:rFonts w:ascii="Arial" w:eastAsia="Times New Roman" w:hAnsi="Arial" w:cs="Arial"/>
          <w:color w:val="000000"/>
          <w:lang w:eastAsia="es-MX"/>
        </w:rPr>
      </w:pPr>
    </w:p>
    <w:p w14:paraId="511ABBE9" w14:textId="43A05936" w:rsidR="007D60EA" w:rsidRPr="008E595C" w:rsidRDefault="00CD2F68" w:rsidP="009F0190">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b/>
          <w:color w:val="000000"/>
          <w:lang w:eastAsia="es-MX"/>
        </w:rPr>
        <w:t>SÉPTIMO.</w:t>
      </w:r>
      <w:r w:rsidRPr="008E595C">
        <w:rPr>
          <w:rFonts w:ascii="Arial" w:eastAsia="Times New Roman" w:hAnsi="Arial" w:cs="Arial"/>
          <w:color w:val="000000"/>
          <w:lang w:eastAsia="es-MX"/>
        </w:rPr>
        <w:t xml:space="preserve"> </w:t>
      </w:r>
      <w:r w:rsidR="007D60EA" w:rsidRPr="008E595C">
        <w:rPr>
          <w:rFonts w:ascii="Arial" w:eastAsia="Times New Roman" w:hAnsi="Arial" w:cs="Arial"/>
          <w:color w:val="000000"/>
          <w:lang w:eastAsia="es-MX"/>
        </w:rPr>
        <w:t xml:space="preserve">Que, una vez recepcionadas las respuestas emitidas por los diferentes Sujetos Obligados y considerando los supuestos normativos establecidos en los </w:t>
      </w:r>
      <w:r w:rsidR="007D60EA" w:rsidRPr="008E595C">
        <w:rPr>
          <w:rFonts w:ascii="Arial" w:eastAsia="Times New Roman" w:hAnsi="Arial" w:cs="Arial"/>
          <w:i/>
          <w:iCs/>
          <w:color w:val="000000"/>
          <w:lang w:eastAsia="es-MX"/>
        </w:rPr>
        <w:t>Lineamientos para determinar los catálogos y publicación de Información de Interés Público; y para la emisión y evaluación de Políticas de Transparencia Proactiva</w:t>
      </w:r>
      <w:r w:rsidR="007D60EA" w:rsidRPr="008E595C">
        <w:rPr>
          <w:rFonts w:ascii="Arial" w:eastAsia="Times New Roman" w:hAnsi="Arial" w:cs="Arial"/>
          <w:color w:val="000000"/>
          <w:lang w:eastAsia="es-MX"/>
        </w:rPr>
        <w:t>, la Dirección de Gobierno Abierto revisó la información remitida para determinar, si la misma es suficiente para acreditar si cumplen con las características de interés público y,  con base en lo anterior, emitir el dictamen sobre el listado de información de interés público de los Sujetos Obligados</w:t>
      </w:r>
      <w:r w:rsidR="00E84812" w:rsidRPr="008E595C">
        <w:rPr>
          <w:rFonts w:ascii="Arial" w:eastAsia="Times New Roman" w:hAnsi="Arial" w:cs="Arial"/>
          <w:color w:val="000000"/>
          <w:lang w:eastAsia="es-MX"/>
        </w:rPr>
        <w:t>.</w:t>
      </w:r>
    </w:p>
    <w:p w14:paraId="00727B2C" w14:textId="77777777" w:rsidR="007D60EA" w:rsidRPr="008E595C" w:rsidRDefault="007D60EA" w:rsidP="009F0190">
      <w:pPr>
        <w:shd w:val="clear" w:color="auto" w:fill="FFFFFF"/>
        <w:spacing w:line="276" w:lineRule="auto"/>
        <w:jc w:val="both"/>
        <w:rPr>
          <w:rFonts w:ascii="Arial" w:eastAsia="Times New Roman" w:hAnsi="Arial" w:cs="Arial"/>
          <w:color w:val="000000"/>
          <w:lang w:eastAsia="es-MX"/>
        </w:rPr>
      </w:pPr>
    </w:p>
    <w:p w14:paraId="2D753795" w14:textId="7055F959" w:rsidR="00E84812" w:rsidRPr="008E595C" w:rsidRDefault="007D60EA" w:rsidP="00E84812">
      <w:pPr>
        <w:shd w:val="clear" w:color="auto" w:fill="FFFFFF"/>
        <w:spacing w:line="276" w:lineRule="auto"/>
        <w:jc w:val="both"/>
        <w:rPr>
          <w:rFonts w:ascii="Arial" w:eastAsia="Times New Roman" w:hAnsi="Arial" w:cs="Arial"/>
          <w:b/>
          <w:color w:val="000000"/>
          <w:lang w:eastAsia="es-MX"/>
        </w:rPr>
      </w:pPr>
      <w:r w:rsidRPr="008E595C">
        <w:rPr>
          <w:rFonts w:ascii="Arial" w:eastAsia="Times New Roman" w:hAnsi="Arial" w:cs="Arial"/>
          <w:b/>
          <w:color w:val="000000"/>
          <w:lang w:eastAsia="es-MX"/>
        </w:rPr>
        <w:t>OCTAVO.</w:t>
      </w:r>
      <w:r w:rsidR="00E84812" w:rsidRPr="008E595C">
        <w:rPr>
          <w:rFonts w:ascii="Arial" w:eastAsia="Arial Unicode MS" w:hAnsi="Arial" w:cs="Arial"/>
          <w:sz w:val="22"/>
          <w:szCs w:val="22"/>
        </w:rPr>
        <w:t xml:space="preserve"> </w:t>
      </w:r>
      <w:r w:rsidR="00E84812" w:rsidRPr="008E595C">
        <w:rPr>
          <w:rFonts w:ascii="Arial" w:eastAsia="Times New Roman" w:hAnsi="Arial" w:cs="Arial"/>
          <w:color w:val="000000"/>
          <w:lang w:eastAsia="es-MX"/>
        </w:rPr>
        <w:t xml:space="preserve">Que, como resultado de la revisión realizada por la Dirección de Gobierno Abierto, se advierte que: </w:t>
      </w:r>
    </w:p>
    <w:p w14:paraId="04E22A19" w14:textId="77777777" w:rsidR="00E84812" w:rsidRPr="008E595C" w:rsidRDefault="00E84812" w:rsidP="00E84812">
      <w:pPr>
        <w:shd w:val="clear" w:color="auto" w:fill="FFFFFF"/>
        <w:spacing w:line="276" w:lineRule="auto"/>
        <w:jc w:val="both"/>
        <w:rPr>
          <w:rFonts w:ascii="Arial" w:eastAsia="Times New Roman" w:hAnsi="Arial" w:cs="Arial"/>
          <w:color w:val="000000"/>
          <w:lang w:eastAsia="es-MX"/>
        </w:rPr>
      </w:pPr>
    </w:p>
    <w:p w14:paraId="7375A1D3" w14:textId="0A456F5E" w:rsidR="00E84812" w:rsidRPr="008E595C" w:rsidRDefault="00E84812" w:rsidP="00E84812">
      <w:pPr>
        <w:numPr>
          <w:ilvl w:val="0"/>
          <w:numId w:val="7"/>
        </w:num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color w:val="000000"/>
          <w:lang w:eastAsia="es-MX"/>
        </w:rPr>
        <w:t>Catorce (14)</w:t>
      </w:r>
      <w:r w:rsidRPr="008E595C">
        <w:rPr>
          <w:rFonts w:ascii="Arial" w:eastAsia="Times New Roman" w:hAnsi="Arial" w:cs="Arial"/>
          <w:b/>
          <w:bCs/>
          <w:color w:val="000000"/>
          <w:lang w:eastAsia="es-MX"/>
        </w:rPr>
        <w:t xml:space="preserve"> </w:t>
      </w:r>
      <w:r w:rsidRPr="008E595C">
        <w:rPr>
          <w:rFonts w:ascii="Arial" w:eastAsia="Times New Roman" w:hAnsi="Arial" w:cs="Arial"/>
          <w:color w:val="000000"/>
          <w:lang w:eastAsia="es-MX"/>
        </w:rPr>
        <w:t>Sujetos Obligados respondieron los requerimientos de información de interés público del Órgano Garante.</w:t>
      </w:r>
    </w:p>
    <w:p w14:paraId="02CE03F5" w14:textId="10ABC921" w:rsidR="00E84812" w:rsidRPr="008E595C" w:rsidRDefault="00E84812" w:rsidP="00E84812">
      <w:pPr>
        <w:numPr>
          <w:ilvl w:val="0"/>
          <w:numId w:val="7"/>
        </w:num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color w:val="000000"/>
          <w:lang w:eastAsia="es-MX"/>
        </w:rPr>
        <w:t>De ellos, siete (7) sujetos Obligados remitieron listados de información de interés público susceptible de ser dictaminada por este Órgano Garante;</w:t>
      </w:r>
    </w:p>
    <w:p w14:paraId="347A7B7D" w14:textId="727ECF8D" w:rsidR="00E84812" w:rsidRPr="008E595C" w:rsidRDefault="00E84812" w:rsidP="00E84812">
      <w:pPr>
        <w:numPr>
          <w:ilvl w:val="0"/>
          <w:numId w:val="7"/>
        </w:num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color w:val="000000"/>
          <w:lang w:eastAsia="es-MX"/>
        </w:rPr>
        <w:t>Así mismo, siete (7) Sujetos Obligados respondieron que no cuentan con información de interés público generada en el ejercicio 2022;</w:t>
      </w:r>
    </w:p>
    <w:p w14:paraId="59E027B4" w14:textId="3C14DF20" w:rsidR="00E84812" w:rsidRPr="008E595C" w:rsidRDefault="00E84812" w:rsidP="00E84812">
      <w:pPr>
        <w:numPr>
          <w:ilvl w:val="0"/>
          <w:numId w:val="7"/>
        </w:num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color w:val="000000"/>
          <w:lang w:eastAsia="es-MX"/>
        </w:rPr>
        <w:t>Seiscientos setenta y ocho (679) Sujetos Obligados fueron omisos en atender los requerimientos de información de interés público y</w:t>
      </w:r>
    </w:p>
    <w:p w14:paraId="07600534" w14:textId="77777777" w:rsidR="00E84812" w:rsidRPr="008E595C" w:rsidRDefault="00E84812" w:rsidP="00E84812">
      <w:pPr>
        <w:numPr>
          <w:ilvl w:val="0"/>
          <w:numId w:val="7"/>
        </w:num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color w:val="000000"/>
          <w:lang w:eastAsia="es-MX"/>
        </w:rPr>
        <w:t>Un (1) Sujeto Obligado del ámbito federal remitió listados de información de interés público al Órgano Garante.</w:t>
      </w:r>
    </w:p>
    <w:p w14:paraId="09B44315" w14:textId="77777777" w:rsidR="00E84812" w:rsidRPr="008E595C" w:rsidRDefault="00E84812" w:rsidP="00E84812">
      <w:pPr>
        <w:shd w:val="clear" w:color="auto" w:fill="FFFFFF"/>
        <w:spacing w:line="276" w:lineRule="auto"/>
        <w:jc w:val="both"/>
        <w:rPr>
          <w:rFonts w:ascii="Arial" w:eastAsia="Times New Roman" w:hAnsi="Arial" w:cs="Arial"/>
          <w:color w:val="000000"/>
          <w:lang w:eastAsia="es-MX"/>
        </w:rPr>
      </w:pPr>
    </w:p>
    <w:p w14:paraId="637E3007" w14:textId="77777777" w:rsidR="00E84812" w:rsidRPr="008E595C" w:rsidRDefault="00E84812" w:rsidP="00E84812">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color w:val="000000"/>
          <w:lang w:eastAsia="es-MX"/>
        </w:rPr>
        <w:t>Un total de siete listados de información de interés público remitidos por igual número de Sujetos Obligados fueron sometidos al proceso de revisión y dictaminación establecido en los Lineamientos de interés público, teniendo como resultado que la información de los siete Sujetos Obligados es suficiente para poder acreditar si cumplen con las características de interés público.</w:t>
      </w:r>
    </w:p>
    <w:p w14:paraId="7B056D9B" w14:textId="77777777" w:rsidR="00E84812" w:rsidRPr="008E595C" w:rsidRDefault="00E84812" w:rsidP="00E84812">
      <w:pPr>
        <w:shd w:val="clear" w:color="auto" w:fill="FFFFFF"/>
        <w:spacing w:line="276" w:lineRule="auto"/>
        <w:jc w:val="both"/>
        <w:rPr>
          <w:rFonts w:ascii="Arial" w:eastAsia="Times New Roman" w:hAnsi="Arial" w:cs="Arial"/>
          <w:color w:val="000000"/>
          <w:lang w:eastAsia="es-MX"/>
        </w:rPr>
      </w:pPr>
    </w:p>
    <w:p w14:paraId="1A4AD72F" w14:textId="77777777" w:rsidR="00E84812" w:rsidRPr="008E595C" w:rsidRDefault="00E84812" w:rsidP="00E84812">
      <w:pPr>
        <w:shd w:val="clear" w:color="auto" w:fill="FFFFFF"/>
        <w:spacing w:line="276" w:lineRule="auto"/>
        <w:jc w:val="both"/>
        <w:rPr>
          <w:rFonts w:ascii="Arial" w:eastAsia="Times New Roman" w:hAnsi="Arial" w:cs="Arial"/>
          <w:b/>
          <w:bCs/>
          <w:color w:val="000000"/>
          <w:lang w:eastAsia="es-MX"/>
        </w:rPr>
      </w:pPr>
      <w:r w:rsidRPr="008E595C">
        <w:rPr>
          <w:rFonts w:ascii="Arial" w:eastAsia="Times New Roman" w:hAnsi="Arial" w:cs="Arial"/>
          <w:color w:val="000000"/>
          <w:lang w:eastAsia="es-MX"/>
        </w:rPr>
        <w:t xml:space="preserve">De igual manera, los listados correspondientes a los siete Sujetos Obligados fueron </w:t>
      </w:r>
      <w:r w:rsidRPr="008E595C">
        <w:rPr>
          <w:rFonts w:ascii="Arial" w:eastAsia="Times New Roman" w:hAnsi="Arial" w:cs="Arial"/>
          <w:bCs/>
          <w:color w:val="000000"/>
          <w:lang w:eastAsia="es-MX"/>
        </w:rPr>
        <w:t xml:space="preserve">dictaminados </w:t>
      </w:r>
      <w:r w:rsidRPr="008E595C">
        <w:rPr>
          <w:rFonts w:ascii="Arial" w:eastAsia="Times New Roman" w:hAnsi="Arial" w:cs="Arial"/>
          <w:color w:val="000000"/>
          <w:lang w:eastAsia="es-MX"/>
        </w:rPr>
        <w:t xml:space="preserve">como listados de información de interés público susceptibles de ser publicados en sus respectivos portales de internet y en la Plataforma Nacional de Transparencia (PNT). </w:t>
      </w:r>
    </w:p>
    <w:p w14:paraId="442DF3ED" w14:textId="77777777" w:rsidR="00E84812" w:rsidRPr="008E595C" w:rsidRDefault="00E84812" w:rsidP="00E84812">
      <w:pPr>
        <w:shd w:val="clear" w:color="auto" w:fill="FFFFFF"/>
        <w:spacing w:line="276" w:lineRule="auto"/>
        <w:jc w:val="both"/>
        <w:rPr>
          <w:rFonts w:ascii="Arial" w:eastAsia="Times New Roman" w:hAnsi="Arial" w:cs="Arial"/>
          <w:b/>
          <w:bCs/>
          <w:color w:val="000000"/>
          <w:lang w:eastAsia="es-MX"/>
        </w:rPr>
      </w:pPr>
    </w:p>
    <w:p w14:paraId="31F39A5F" w14:textId="77777777" w:rsidR="00E84812" w:rsidRPr="008E595C" w:rsidRDefault="00E84812" w:rsidP="00E84812">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color w:val="000000"/>
          <w:lang w:eastAsia="es-MX"/>
        </w:rPr>
        <w:t>Los Sujetos Obligados dictaminados favorablemente y que integran el catálogo de información de interés público respectivo, por considerar que cumplen con los criterios y requisitos normativos considerados en los Lineamientos de interés público, son los siguientes:</w:t>
      </w:r>
    </w:p>
    <w:p w14:paraId="69760F18" w14:textId="77777777" w:rsidR="00E84812" w:rsidRPr="008E595C" w:rsidRDefault="00E84812" w:rsidP="00E84812">
      <w:pPr>
        <w:shd w:val="clear" w:color="auto" w:fill="FFFFFF"/>
        <w:spacing w:line="276" w:lineRule="auto"/>
        <w:jc w:val="both"/>
        <w:rPr>
          <w:rFonts w:ascii="Arial" w:eastAsia="Times New Roman" w:hAnsi="Arial" w:cs="Arial"/>
          <w:color w:val="000000"/>
          <w:lang w:eastAsia="es-MX"/>
        </w:rPr>
      </w:pPr>
    </w:p>
    <w:p w14:paraId="4C1B0DE0" w14:textId="77777777" w:rsidR="00E84812" w:rsidRPr="008E595C" w:rsidRDefault="00E84812" w:rsidP="00731FAE">
      <w:pPr>
        <w:numPr>
          <w:ilvl w:val="0"/>
          <w:numId w:val="8"/>
        </w:numPr>
        <w:shd w:val="clear" w:color="auto" w:fill="FFFFFF"/>
        <w:spacing w:line="276" w:lineRule="auto"/>
        <w:ind w:left="1134" w:right="616" w:hanging="283"/>
        <w:jc w:val="both"/>
        <w:rPr>
          <w:rFonts w:ascii="Arial" w:eastAsia="Times New Roman" w:hAnsi="Arial" w:cs="Arial"/>
          <w:bCs/>
          <w:color w:val="000000"/>
          <w:lang w:eastAsia="es-MX"/>
        </w:rPr>
      </w:pPr>
      <w:r w:rsidRPr="008E595C">
        <w:rPr>
          <w:rFonts w:ascii="Arial" w:eastAsia="Times New Roman" w:hAnsi="Arial" w:cs="Arial"/>
          <w:bCs/>
          <w:color w:val="000000"/>
          <w:lang w:eastAsia="es-MX"/>
        </w:rPr>
        <w:t xml:space="preserve">Honorable Ayuntamiento de Oaxaca de Juárez. </w:t>
      </w:r>
    </w:p>
    <w:p w14:paraId="44F01C59" w14:textId="77777777" w:rsidR="00E84812" w:rsidRPr="008E595C" w:rsidRDefault="00E84812" w:rsidP="00731FAE">
      <w:pPr>
        <w:numPr>
          <w:ilvl w:val="0"/>
          <w:numId w:val="8"/>
        </w:numPr>
        <w:shd w:val="clear" w:color="auto" w:fill="FFFFFF"/>
        <w:spacing w:line="276" w:lineRule="auto"/>
        <w:ind w:left="1134" w:right="616" w:hanging="283"/>
        <w:jc w:val="both"/>
        <w:rPr>
          <w:rFonts w:ascii="Arial" w:eastAsia="Times New Roman" w:hAnsi="Arial" w:cs="Arial"/>
          <w:bCs/>
          <w:color w:val="000000"/>
          <w:lang w:eastAsia="es-MX"/>
        </w:rPr>
      </w:pPr>
      <w:r w:rsidRPr="008E595C">
        <w:rPr>
          <w:rFonts w:ascii="Arial" w:eastAsia="Times New Roman" w:hAnsi="Arial" w:cs="Arial"/>
          <w:bCs/>
          <w:color w:val="000000"/>
          <w:lang w:eastAsia="es-MX"/>
        </w:rPr>
        <w:t>Honorable Ayuntamiento de San Juan Bautista Tuxtepec.</w:t>
      </w:r>
    </w:p>
    <w:p w14:paraId="4A7C513B" w14:textId="77777777" w:rsidR="00E84812" w:rsidRPr="008E595C" w:rsidRDefault="00E84812" w:rsidP="00731FAE">
      <w:pPr>
        <w:numPr>
          <w:ilvl w:val="0"/>
          <w:numId w:val="8"/>
        </w:numPr>
        <w:shd w:val="clear" w:color="auto" w:fill="FFFFFF"/>
        <w:spacing w:line="276" w:lineRule="auto"/>
        <w:ind w:left="1134" w:right="616" w:hanging="283"/>
        <w:jc w:val="both"/>
        <w:rPr>
          <w:rFonts w:ascii="Arial" w:eastAsia="Times New Roman" w:hAnsi="Arial" w:cs="Arial"/>
          <w:bCs/>
          <w:color w:val="000000"/>
          <w:lang w:eastAsia="es-MX"/>
        </w:rPr>
      </w:pPr>
      <w:r w:rsidRPr="008E595C">
        <w:rPr>
          <w:rFonts w:ascii="Arial" w:eastAsia="Times New Roman" w:hAnsi="Arial" w:cs="Arial"/>
          <w:bCs/>
          <w:color w:val="000000"/>
          <w:lang w:eastAsia="es-MX"/>
        </w:rPr>
        <w:t>Honorable Ayuntamiento de Santa Cruz Xoxocotlán.</w:t>
      </w:r>
    </w:p>
    <w:p w14:paraId="1E45288A" w14:textId="77777777" w:rsidR="00E84812" w:rsidRPr="008E595C" w:rsidRDefault="00E84812" w:rsidP="00731FAE">
      <w:pPr>
        <w:numPr>
          <w:ilvl w:val="0"/>
          <w:numId w:val="8"/>
        </w:numPr>
        <w:shd w:val="clear" w:color="auto" w:fill="FFFFFF"/>
        <w:spacing w:line="276" w:lineRule="auto"/>
        <w:ind w:left="1134" w:right="616" w:hanging="283"/>
        <w:jc w:val="both"/>
        <w:rPr>
          <w:rFonts w:ascii="Arial" w:eastAsia="Times New Roman" w:hAnsi="Arial" w:cs="Arial"/>
          <w:bCs/>
          <w:color w:val="000000"/>
          <w:lang w:eastAsia="es-MX"/>
        </w:rPr>
      </w:pPr>
      <w:r w:rsidRPr="008E595C">
        <w:rPr>
          <w:rFonts w:ascii="Arial" w:eastAsia="Times New Roman" w:hAnsi="Arial" w:cs="Arial"/>
          <w:bCs/>
          <w:color w:val="000000"/>
          <w:lang w:eastAsia="es-MX"/>
        </w:rPr>
        <w:t>Órgano Garante de Acceso a la Información Pública, Transparencia, Protección de Datos Personales y Buen Gobierno del Estado de Oaxaca.</w:t>
      </w:r>
    </w:p>
    <w:p w14:paraId="5E310362" w14:textId="77777777" w:rsidR="00E84812" w:rsidRPr="008E595C" w:rsidRDefault="00E84812" w:rsidP="00731FAE">
      <w:pPr>
        <w:numPr>
          <w:ilvl w:val="0"/>
          <w:numId w:val="8"/>
        </w:numPr>
        <w:shd w:val="clear" w:color="auto" w:fill="FFFFFF"/>
        <w:spacing w:line="276" w:lineRule="auto"/>
        <w:ind w:left="1134" w:right="616" w:hanging="283"/>
        <w:jc w:val="both"/>
        <w:rPr>
          <w:rFonts w:ascii="Arial" w:eastAsia="Times New Roman" w:hAnsi="Arial" w:cs="Arial"/>
          <w:bCs/>
          <w:color w:val="000000"/>
          <w:lang w:eastAsia="es-MX"/>
        </w:rPr>
      </w:pPr>
      <w:r w:rsidRPr="008E595C">
        <w:rPr>
          <w:rFonts w:ascii="Arial" w:eastAsia="Times New Roman" w:hAnsi="Arial" w:cs="Arial"/>
          <w:bCs/>
          <w:color w:val="000000"/>
          <w:lang w:eastAsia="es-MX"/>
        </w:rPr>
        <w:t>Partido Revolucionario Institucional.</w:t>
      </w:r>
    </w:p>
    <w:p w14:paraId="195BAADC" w14:textId="583A0348" w:rsidR="00E84812" w:rsidRPr="008E595C" w:rsidRDefault="00E84812" w:rsidP="00731FAE">
      <w:pPr>
        <w:numPr>
          <w:ilvl w:val="0"/>
          <w:numId w:val="8"/>
        </w:numPr>
        <w:shd w:val="clear" w:color="auto" w:fill="FFFFFF"/>
        <w:spacing w:line="276" w:lineRule="auto"/>
        <w:ind w:left="1134" w:right="616" w:hanging="283"/>
        <w:jc w:val="both"/>
        <w:rPr>
          <w:rFonts w:ascii="Arial" w:eastAsia="Times New Roman" w:hAnsi="Arial" w:cs="Arial"/>
          <w:color w:val="000000"/>
          <w:lang w:eastAsia="es-MX"/>
        </w:rPr>
      </w:pPr>
      <w:r w:rsidRPr="008E595C">
        <w:rPr>
          <w:rFonts w:ascii="Arial" w:eastAsia="Times New Roman" w:hAnsi="Arial" w:cs="Arial"/>
          <w:bCs/>
          <w:color w:val="000000"/>
          <w:lang w:eastAsia="es-MX"/>
        </w:rPr>
        <w:t>Secretaría de la Contraloría y Transparencia Gubernamental.</w:t>
      </w:r>
      <w:r w:rsidR="00F963C2" w:rsidRPr="008E595C">
        <w:rPr>
          <w:rStyle w:val="Refdenotaalpie"/>
          <w:rFonts w:ascii="Arial" w:eastAsia="Times New Roman" w:hAnsi="Arial" w:cs="Arial"/>
          <w:bCs/>
          <w:color w:val="000000"/>
          <w:lang w:eastAsia="es-MX"/>
        </w:rPr>
        <w:footnoteReference w:id="1"/>
      </w:r>
    </w:p>
    <w:p w14:paraId="6CB66EBE" w14:textId="77777777" w:rsidR="00E84812" w:rsidRPr="008E595C" w:rsidRDefault="00E84812" w:rsidP="00731FAE">
      <w:pPr>
        <w:numPr>
          <w:ilvl w:val="0"/>
          <w:numId w:val="8"/>
        </w:numPr>
        <w:shd w:val="clear" w:color="auto" w:fill="FFFFFF"/>
        <w:spacing w:line="276" w:lineRule="auto"/>
        <w:ind w:left="1134" w:right="616" w:hanging="283"/>
        <w:jc w:val="both"/>
        <w:rPr>
          <w:rFonts w:ascii="Arial" w:eastAsia="Times New Roman" w:hAnsi="Arial" w:cs="Arial"/>
          <w:bCs/>
          <w:color w:val="000000"/>
          <w:lang w:eastAsia="es-MX"/>
        </w:rPr>
      </w:pPr>
      <w:r w:rsidRPr="008E595C">
        <w:rPr>
          <w:rFonts w:ascii="Arial" w:eastAsia="Times New Roman" w:hAnsi="Arial" w:cs="Arial"/>
          <w:bCs/>
          <w:color w:val="000000"/>
          <w:lang w:eastAsia="es-MX"/>
        </w:rPr>
        <w:t>Servicios de Salud de Oaxaca.</w:t>
      </w:r>
    </w:p>
    <w:p w14:paraId="20D256E5"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405C55C6" w14:textId="68A8C760" w:rsidR="00CD2F68" w:rsidRPr="008E595C" w:rsidRDefault="00CD2F68" w:rsidP="00CD2F68">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color w:val="000000"/>
          <w:lang w:eastAsia="es-MX"/>
        </w:rPr>
        <w:t xml:space="preserve">Por los antecedentes y considerandos anteriormente expuestos, este Consejo General; </w:t>
      </w:r>
      <w:r w:rsidRPr="008E595C">
        <w:rPr>
          <w:rFonts w:ascii="Arial" w:eastAsia="Times New Roman" w:hAnsi="Arial" w:cs="Arial"/>
          <w:color w:val="000000"/>
          <w:lang w:val="es-ES_tradnl" w:eastAsia="es-MX"/>
        </w:rPr>
        <w:t>emite el siguiente:</w:t>
      </w:r>
    </w:p>
    <w:p w14:paraId="31536AD1"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68359E41" w14:textId="77777777" w:rsidR="00CD2F68" w:rsidRPr="008E595C" w:rsidRDefault="00CD2F68" w:rsidP="00CD2F68">
      <w:pPr>
        <w:shd w:val="clear" w:color="auto" w:fill="FFFFFF"/>
        <w:spacing w:line="276" w:lineRule="auto"/>
        <w:jc w:val="center"/>
        <w:rPr>
          <w:rFonts w:ascii="Arial" w:eastAsia="Times New Roman" w:hAnsi="Arial" w:cs="Arial"/>
          <w:b/>
          <w:color w:val="000000"/>
          <w:lang w:eastAsia="es-MX"/>
        </w:rPr>
      </w:pPr>
      <w:r w:rsidRPr="008E595C">
        <w:rPr>
          <w:rFonts w:ascii="Arial" w:eastAsia="Times New Roman" w:hAnsi="Arial" w:cs="Arial"/>
          <w:b/>
          <w:color w:val="000000"/>
          <w:lang w:eastAsia="es-MX"/>
        </w:rPr>
        <w:t xml:space="preserve">A C U E R D O </w:t>
      </w:r>
    </w:p>
    <w:p w14:paraId="6C0504A5"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0CD1E69C" w14:textId="2D4BC265" w:rsidR="00CD2F68" w:rsidRPr="008E595C" w:rsidRDefault="00CD2F68" w:rsidP="00CD2F68">
      <w:pPr>
        <w:shd w:val="clear" w:color="auto" w:fill="FFFFFF"/>
        <w:spacing w:line="276" w:lineRule="auto"/>
        <w:jc w:val="both"/>
        <w:rPr>
          <w:rFonts w:ascii="Arial" w:eastAsia="Times New Roman" w:hAnsi="Arial" w:cs="Arial"/>
          <w:bCs/>
          <w:color w:val="000000"/>
          <w:lang w:eastAsia="es-MX"/>
        </w:rPr>
      </w:pPr>
      <w:r w:rsidRPr="008E595C">
        <w:rPr>
          <w:rFonts w:ascii="Arial" w:eastAsia="Times New Roman" w:hAnsi="Arial" w:cs="Arial"/>
          <w:b/>
          <w:color w:val="000000"/>
          <w:lang w:eastAsia="es-MX"/>
        </w:rPr>
        <w:t>PRIMERO.</w:t>
      </w:r>
      <w:r w:rsidRPr="008E595C">
        <w:rPr>
          <w:rFonts w:ascii="Arial" w:eastAsia="Times New Roman" w:hAnsi="Arial" w:cs="Arial"/>
          <w:color w:val="000000"/>
          <w:lang w:eastAsia="es-MX"/>
        </w:rPr>
        <w:t xml:space="preserve"> </w:t>
      </w:r>
      <w:r w:rsidR="00731FAE" w:rsidRPr="008E595C">
        <w:rPr>
          <w:rFonts w:ascii="Arial" w:eastAsia="Times New Roman" w:hAnsi="Arial" w:cs="Arial"/>
          <w:color w:val="000000"/>
          <w:lang w:eastAsia="es-MX"/>
        </w:rPr>
        <w:t xml:space="preserve">El Consejo General de este Órgano Garante aprueba </w:t>
      </w:r>
      <w:r w:rsidR="00731FAE" w:rsidRPr="008E595C">
        <w:rPr>
          <w:rFonts w:ascii="Arial" w:eastAsia="Times New Roman" w:hAnsi="Arial" w:cs="Arial"/>
          <w:bCs/>
          <w:color w:val="000000"/>
          <w:lang w:eastAsia="es-MX"/>
        </w:rPr>
        <w:t xml:space="preserve">el </w:t>
      </w:r>
      <w:r w:rsidR="00731FAE" w:rsidRPr="008E595C">
        <w:rPr>
          <w:rFonts w:ascii="Arial" w:eastAsia="Times New Roman" w:hAnsi="Arial" w:cs="Arial"/>
          <w:b/>
          <w:bCs/>
          <w:color w:val="000000"/>
          <w:lang w:eastAsia="es-MX"/>
        </w:rPr>
        <w:t>CATÁLOGO DE INFORMACIÓN DE INTERÉS PÚBLICO QUE DEBERÁN PUBLICAR LOS SUJETOS OBLIGADOS DEL ESTADO DE OAXACA</w:t>
      </w:r>
      <w:r w:rsidR="00731FAE" w:rsidRPr="008E595C">
        <w:rPr>
          <w:rFonts w:ascii="Arial" w:eastAsia="Times New Roman" w:hAnsi="Arial" w:cs="Arial"/>
          <w:bCs/>
          <w:color w:val="000000"/>
          <w:lang w:eastAsia="es-MX"/>
        </w:rPr>
        <w:t xml:space="preserve">, </w:t>
      </w:r>
      <w:r w:rsidR="00731FAE" w:rsidRPr="008E595C">
        <w:rPr>
          <w:rFonts w:ascii="Arial" w:eastAsia="Times New Roman" w:hAnsi="Arial" w:cs="Arial"/>
          <w:b/>
          <w:bCs/>
          <w:color w:val="000000"/>
          <w:lang w:eastAsia="es-MX"/>
        </w:rPr>
        <w:t>CORRESPONDIENTE AL EJERCICIO DOS MIL VEINTIDÓS</w:t>
      </w:r>
      <w:r w:rsidR="00731FAE" w:rsidRPr="008E595C">
        <w:rPr>
          <w:rFonts w:ascii="Arial" w:eastAsia="Times New Roman" w:hAnsi="Arial" w:cs="Arial"/>
          <w:bCs/>
          <w:color w:val="000000"/>
          <w:lang w:eastAsia="es-MX"/>
        </w:rPr>
        <w:t>, en términos de los anexos del presente acuerdo.</w:t>
      </w:r>
    </w:p>
    <w:p w14:paraId="4E6D684B" w14:textId="77777777" w:rsidR="008E595C" w:rsidRPr="008E595C" w:rsidRDefault="008E595C" w:rsidP="00CD2F68">
      <w:pPr>
        <w:shd w:val="clear" w:color="auto" w:fill="FFFFFF"/>
        <w:spacing w:line="276" w:lineRule="auto"/>
        <w:jc w:val="both"/>
        <w:rPr>
          <w:rFonts w:ascii="Arial" w:eastAsia="Times New Roman" w:hAnsi="Arial" w:cs="Arial"/>
          <w:color w:val="000000"/>
          <w:lang w:eastAsia="es-MX"/>
        </w:rPr>
      </w:pPr>
    </w:p>
    <w:p w14:paraId="3C355733" w14:textId="44D8B534" w:rsidR="00CD2F68" w:rsidRPr="008E595C" w:rsidRDefault="00CD2F68" w:rsidP="00CD2F68">
      <w:pPr>
        <w:shd w:val="clear" w:color="auto" w:fill="FFFFFF"/>
        <w:spacing w:line="276" w:lineRule="auto"/>
        <w:jc w:val="both"/>
        <w:rPr>
          <w:rFonts w:ascii="Arial" w:eastAsia="Times New Roman" w:hAnsi="Arial" w:cs="Arial"/>
          <w:color w:val="000000"/>
          <w:lang w:val="es-ES" w:eastAsia="es-MX"/>
        </w:rPr>
      </w:pPr>
      <w:r w:rsidRPr="008E595C">
        <w:rPr>
          <w:rFonts w:ascii="Arial" w:eastAsia="Times New Roman" w:hAnsi="Arial" w:cs="Arial"/>
          <w:b/>
          <w:color w:val="000000"/>
          <w:lang w:eastAsia="es-MX"/>
        </w:rPr>
        <w:t>SEGUNDO.</w:t>
      </w:r>
      <w:r w:rsidRPr="008E595C">
        <w:rPr>
          <w:rFonts w:ascii="Arial" w:eastAsia="Times New Roman" w:hAnsi="Arial" w:cs="Arial"/>
          <w:color w:val="000000"/>
          <w:lang w:eastAsia="es-MX"/>
        </w:rPr>
        <w:t xml:space="preserve"> </w:t>
      </w:r>
      <w:r w:rsidR="00731FAE" w:rsidRPr="008E595C">
        <w:rPr>
          <w:rFonts w:ascii="Arial" w:eastAsia="Times New Roman" w:hAnsi="Arial" w:cs="Arial"/>
          <w:color w:val="000000"/>
          <w:lang w:val="es-ES" w:eastAsia="es-MX"/>
        </w:rPr>
        <w:t>Se instruye a la Secretaría General de Acuerdos, realice la notificación del presente acuerdo a los Sujetos Obligados que corresponda, a efecto de que publiquen la información de interés público determinada en el catálogo que se aprueba, que será considerada como una obligación de transparencia en términos del artículo 70 fracción XLVIII de la Ley General de Transparencia y Acceso a la Información Pública.</w:t>
      </w:r>
    </w:p>
    <w:p w14:paraId="655F092E"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4ECB6AC3" w14:textId="512F3834" w:rsidR="00731FAE" w:rsidRPr="008E595C" w:rsidRDefault="00B815B1" w:rsidP="00731FAE">
      <w:pPr>
        <w:shd w:val="clear" w:color="auto" w:fill="FFFFFF"/>
        <w:spacing w:line="276" w:lineRule="auto"/>
        <w:jc w:val="both"/>
        <w:rPr>
          <w:rFonts w:ascii="Arial" w:eastAsia="Times New Roman" w:hAnsi="Arial" w:cs="Arial"/>
          <w:color w:val="000000"/>
          <w:lang w:val="es-ES" w:eastAsia="es-MX"/>
        </w:rPr>
      </w:pPr>
      <w:r w:rsidRPr="008E595C">
        <w:rPr>
          <w:rFonts w:ascii="Arial" w:eastAsia="Times New Roman" w:hAnsi="Arial" w:cs="Arial"/>
          <w:b/>
          <w:color w:val="000000"/>
          <w:lang w:eastAsia="es-MX"/>
        </w:rPr>
        <w:t>TERCERO</w:t>
      </w:r>
      <w:r w:rsidR="00CD2F68" w:rsidRPr="008E595C">
        <w:rPr>
          <w:rFonts w:ascii="Arial" w:eastAsia="Times New Roman" w:hAnsi="Arial" w:cs="Arial"/>
          <w:b/>
          <w:color w:val="000000"/>
          <w:lang w:eastAsia="es-MX"/>
        </w:rPr>
        <w:t>.</w:t>
      </w:r>
      <w:r w:rsidR="00CD2F68" w:rsidRPr="008E595C">
        <w:rPr>
          <w:rFonts w:ascii="Arial" w:eastAsia="Times New Roman" w:hAnsi="Arial" w:cs="Arial"/>
          <w:color w:val="000000"/>
          <w:lang w:eastAsia="es-MX"/>
        </w:rPr>
        <w:t xml:space="preserve"> </w:t>
      </w:r>
      <w:r w:rsidR="00731FAE" w:rsidRPr="008E595C">
        <w:rPr>
          <w:rFonts w:ascii="Arial" w:eastAsia="Times New Roman" w:hAnsi="Arial" w:cs="Arial"/>
          <w:color w:val="000000"/>
          <w:lang w:val="es-ES" w:eastAsia="es-MX"/>
        </w:rPr>
        <w:t>En cumplimiento a lo anterior, se otorga un plazo de quince días hábiles contados al día siguiente de que se notifique el presente acuerdo, con la finalidad que los Sujetos Obligados, así como el Órgano Garante por conducto de la Dirección de Gobierno Abierto, publiquen los catálogos de información de interés público, tanto en su portal de internet como en la Plataforma Nacional de Transparencia, atendiendo a los formatos y criterios establecidos en los “</w:t>
      </w:r>
      <w:r w:rsidR="00731FAE" w:rsidRPr="008E595C">
        <w:rPr>
          <w:rFonts w:ascii="Arial" w:eastAsia="Times New Roman" w:hAnsi="Arial" w:cs="Arial"/>
          <w:i/>
          <w:iCs/>
          <w:color w:val="000000"/>
          <w:lang w:val="es-ES" w:eastAsia="es-MX"/>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w:t>
      </w:r>
    </w:p>
    <w:p w14:paraId="1054EDA3" w14:textId="77777777" w:rsidR="00731FAE" w:rsidRPr="008E595C" w:rsidRDefault="00731FAE" w:rsidP="00CD2F68">
      <w:pPr>
        <w:shd w:val="clear" w:color="auto" w:fill="FFFFFF"/>
        <w:spacing w:line="276" w:lineRule="auto"/>
        <w:jc w:val="both"/>
        <w:rPr>
          <w:rFonts w:ascii="Arial" w:eastAsia="Times New Roman" w:hAnsi="Arial" w:cs="Arial"/>
          <w:color w:val="000000"/>
          <w:lang w:val="es-ES" w:eastAsia="es-MX"/>
        </w:rPr>
      </w:pPr>
    </w:p>
    <w:p w14:paraId="47A17882" w14:textId="681E06B8" w:rsidR="00462774" w:rsidRPr="008E595C" w:rsidRDefault="00731FAE" w:rsidP="00CD2F68">
      <w:pPr>
        <w:shd w:val="clear" w:color="auto" w:fill="FFFFFF"/>
        <w:spacing w:line="276" w:lineRule="auto"/>
        <w:jc w:val="both"/>
        <w:rPr>
          <w:rFonts w:ascii="Arial" w:eastAsia="Times New Roman" w:hAnsi="Arial" w:cs="Arial"/>
          <w:color w:val="000000"/>
          <w:lang w:val="es-ES" w:eastAsia="es-MX"/>
        </w:rPr>
      </w:pPr>
      <w:r w:rsidRPr="008E595C">
        <w:rPr>
          <w:rFonts w:ascii="Arial" w:eastAsia="Times New Roman" w:hAnsi="Arial" w:cs="Arial"/>
          <w:color w:val="000000"/>
          <w:lang w:val="es-ES" w:eastAsia="es-MX"/>
        </w:rPr>
        <w:t>Asimismo, se notificará a los Sujetos Obligados que la verificación de las obligaciones de transparencia que se determinan en el Catálogo de Información de Interés Público se realizará conforme al “Programa Anual de Verificación al cumplimiento de las Obligaciones de Transparencia 2023”, por conducto de la dirección de Comunicación, Capacitación, Evaluación, Archivo y Datos Personales de este Órgano Garante.</w:t>
      </w:r>
    </w:p>
    <w:p w14:paraId="515EC03E" w14:textId="77777777" w:rsidR="00731FAE" w:rsidRPr="008E595C" w:rsidRDefault="00731FAE" w:rsidP="00CD2F68">
      <w:pPr>
        <w:shd w:val="clear" w:color="auto" w:fill="FFFFFF"/>
        <w:spacing w:line="276" w:lineRule="auto"/>
        <w:jc w:val="both"/>
        <w:rPr>
          <w:rFonts w:ascii="Arial" w:eastAsia="Times New Roman" w:hAnsi="Arial" w:cs="Arial"/>
          <w:color w:val="000000"/>
          <w:lang w:eastAsia="es-MX"/>
        </w:rPr>
      </w:pPr>
    </w:p>
    <w:p w14:paraId="6C22CF8C" w14:textId="1A174558" w:rsidR="004E7690" w:rsidRPr="008E595C" w:rsidRDefault="00462774" w:rsidP="004E7690">
      <w:pPr>
        <w:shd w:val="clear" w:color="auto" w:fill="FFFFFF"/>
        <w:spacing w:line="276" w:lineRule="auto"/>
        <w:jc w:val="both"/>
        <w:rPr>
          <w:rFonts w:ascii="Arial" w:eastAsia="Times New Roman" w:hAnsi="Arial" w:cs="Arial"/>
          <w:color w:val="000000"/>
          <w:lang w:val="es-ES" w:eastAsia="es-MX"/>
        </w:rPr>
      </w:pPr>
      <w:r w:rsidRPr="008E595C">
        <w:rPr>
          <w:rFonts w:ascii="Arial" w:eastAsia="Times New Roman" w:hAnsi="Arial" w:cs="Arial"/>
          <w:b/>
          <w:color w:val="000000"/>
          <w:lang w:eastAsia="es-MX"/>
        </w:rPr>
        <w:t>CUARTO.</w:t>
      </w:r>
      <w:r w:rsidRPr="008E595C">
        <w:rPr>
          <w:rFonts w:ascii="Arial" w:eastAsia="Times New Roman" w:hAnsi="Arial" w:cs="Arial"/>
          <w:color w:val="000000"/>
          <w:lang w:eastAsia="es-MX"/>
        </w:rPr>
        <w:t xml:space="preserve"> </w:t>
      </w:r>
      <w:r w:rsidR="004E7690" w:rsidRPr="008E595C">
        <w:rPr>
          <w:rFonts w:ascii="Arial" w:eastAsia="Times New Roman" w:hAnsi="Arial" w:cs="Arial"/>
          <w:color w:val="000000"/>
          <w:lang w:val="es-ES" w:eastAsia="es-MX"/>
        </w:rPr>
        <w:t>Se exhorta a los Sujetos Obligados omisos en atender los requerimientos para el envío de listados de información de interés público para que cumplan con las disposiciones previstas en los artículos 24 fracción VIII de la Ley General, 10 fracción VII de la Ley Local y los numerales Sexto, Décimo Primero y Décimo Segundo de los Lineamientos de interés público vigentes.</w:t>
      </w:r>
    </w:p>
    <w:p w14:paraId="26D3E863" w14:textId="45BC840D" w:rsidR="006258E0" w:rsidRPr="008E595C" w:rsidRDefault="006258E0" w:rsidP="00CD2F68">
      <w:pPr>
        <w:shd w:val="clear" w:color="auto" w:fill="FFFFFF"/>
        <w:spacing w:line="276" w:lineRule="auto"/>
        <w:jc w:val="both"/>
        <w:rPr>
          <w:rFonts w:ascii="Arial" w:eastAsia="Times New Roman" w:hAnsi="Arial" w:cs="Arial"/>
          <w:color w:val="000000"/>
          <w:lang w:eastAsia="es-MX"/>
        </w:rPr>
      </w:pPr>
    </w:p>
    <w:p w14:paraId="074EE004" w14:textId="38A18259" w:rsidR="004E7690" w:rsidRPr="008E595C" w:rsidRDefault="00462774" w:rsidP="00CD2F68">
      <w:pPr>
        <w:shd w:val="clear" w:color="auto" w:fill="FFFFFF"/>
        <w:spacing w:line="276" w:lineRule="auto"/>
        <w:jc w:val="both"/>
        <w:rPr>
          <w:rFonts w:ascii="Arial" w:eastAsia="Times New Roman" w:hAnsi="Arial" w:cs="Arial"/>
          <w:bCs/>
          <w:color w:val="000000"/>
          <w:lang w:eastAsia="es-MX"/>
        </w:rPr>
      </w:pPr>
      <w:r w:rsidRPr="008E595C">
        <w:rPr>
          <w:rFonts w:ascii="Arial" w:eastAsia="Times New Roman" w:hAnsi="Arial" w:cs="Arial"/>
          <w:b/>
          <w:color w:val="000000"/>
          <w:lang w:eastAsia="es-MX"/>
        </w:rPr>
        <w:t>QUINTO</w:t>
      </w:r>
      <w:r w:rsidR="006258E0" w:rsidRPr="008E595C">
        <w:rPr>
          <w:rFonts w:ascii="Arial" w:eastAsia="Times New Roman" w:hAnsi="Arial" w:cs="Arial"/>
          <w:b/>
          <w:color w:val="000000"/>
          <w:lang w:eastAsia="es-MX"/>
        </w:rPr>
        <w:t>.</w:t>
      </w:r>
      <w:r w:rsidRPr="008E595C">
        <w:rPr>
          <w:rFonts w:ascii="Arial" w:eastAsia="Times New Roman" w:hAnsi="Arial" w:cs="Arial"/>
          <w:color w:val="000000"/>
          <w:lang w:eastAsia="es-MX"/>
        </w:rPr>
        <w:t xml:space="preserve"> </w:t>
      </w:r>
      <w:r w:rsidR="004E7690" w:rsidRPr="008E595C">
        <w:rPr>
          <w:rFonts w:ascii="Arial" w:eastAsia="Times New Roman" w:hAnsi="Arial" w:cs="Arial"/>
          <w:color w:val="000000"/>
          <w:lang w:val="es-ES" w:eastAsia="es-MX"/>
        </w:rPr>
        <w:t xml:space="preserve">Se instruye a la Dirección de Gobierno Abierto para realizar las gestiones necesarias ante la Dirección de Tecnologías de Transparencia para publicar el </w:t>
      </w:r>
      <w:r w:rsidR="004E7690" w:rsidRPr="008E595C">
        <w:rPr>
          <w:rFonts w:ascii="Arial" w:eastAsia="Times New Roman" w:hAnsi="Arial" w:cs="Arial"/>
          <w:bCs/>
          <w:color w:val="000000"/>
          <w:lang w:eastAsia="es-MX"/>
        </w:rPr>
        <w:t>Catálogo de Información de Interés Público que deberán informar los Sujetos Obligados del Estado de Oaxaca correspondiente al ejercicio dos mil veintidós, en el portal institucional de este Órgano Garante.</w:t>
      </w:r>
    </w:p>
    <w:p w14:paraId="7F4207A6" w14:textId="77777777" w:rsidR="004E7690" w:rsidRPr="008E595C" w:rsidRDefault="004E7690" w:rsidP="00CD2F68">
      <w:pPr>
        <w:shd w:val="clear" w:color="auto" w:fill="FFFFFF"/>
        <w:spacing w:line="276" w:lineRule="auto"/>
        <w:jc w:val="both"/>
        <w:rPr>
          <w:rFonts w:ascii="Arial" w:eastAsia="Times New Roman" w:hAnsi="Arial" w:cs="Arial"/>
          <w:color w:val="000000"/>
          <w:lang w:eastAsia="es-MX"/>
        </w:rPr>
      </w:pPr>
    </w:p>
    <w:p w14:paraId="130377DF" w14:textId="1B2F01FD" w:rsidR="006258E0" w:rsidRPr="008E595C" w:rsidRDefault="004E7690" w:rsidP="00CD2F68">
      <w:pPr>
        <w:shd w:val="clear" w:color="auto" w:fill="FFFFFF"/>
        <w:spacing w:line="276" w:lineRule="auto"/>
        <w:jc w:val="both"/>
        <w:rPr>
          <w:rFonts w:ascii="Arial" w:eastAsia="Times New Roman" w:hAnsi="Arial" w:cs="Arial"/>
          <w:color w:val="000000"/>
          <w:lang w:eastAsia="es-MX"/>
        </w:rPr>
      </w:pPr>
      <w:r w:rsidRPr="008E595C">
        <w:rPr>
          <w:rFonts w:ascii="Arial" w:eastAsia="Times New Roman" w:hAnsi="Arial" w:cs="Arial"/>
          <w:b/>
          <w:color w:val="000000"/>
          <w:lang w:eastAsia="es-MX"/>
        </w:rPr>
        <w:t>SEXTO.</w:t>
      </w:r>
      <w:r w:rsidRPr="008E595C">
        <w:rPr>
          <w:rFonts w:ascii="Arial" w:eastAsia="Times New Roman" w:hAnsi="Arial" w:cs="Arial"/>
          <w:color w:val="000000"/>
          <w:lang w:eastAsia="es-MX"/>
        </w:rPr>
        <w:t xml:space="preserve"> </w:t>
      </w:r>
      <w:r w:rsidR="00462774" w:rsidRPr="008E595C">
        <w:rPr>
          <w:rFonts w:ascii="Arial" w:eastAsia="Times New Roman" w:hAnsi="Arial" w:cs="Arial"/>
          <w:color w:val="000000"/>
          <w:lang w:eastAsia="es-MX"/>
        </w:rPr>
        <w:t>El presente acuerdo entrara en vigor a partir del día de su aprobación.</w:t>
      </w:r>
    </w:p>
    <w:p w14:paraId="39371EBD"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6EB300F5" w14:textId="50DA7A36" w:rsidR="00CD2F68" w:rsidRPr="008E595C" w:rsidRDefault="00CD2F68" w:rsidP="00CD2F68">
      <w:pPr>
        <w:shd w:val="clear" w:color="auto" w:fill="FFFFFF"/>
        <w:spacing w:line="276" w:lineRule="auto"/>
        <w:jc w:val="both"/>
        <w:rPr>
          <w:rFonts w:ascii="Arial" w:eastAsia="Times New Roman" w:hAnsi="Arial" w:cs="Arial"/>
          <w:b/>
          <w:color w:val="000000"/>
          <w:lang w:eastAsia="es-MX"/>
        </w:rPr>
      </w:pPr>
      <w:r w:rsidRPr="008E595C">
        <w:rPr>
          <w:rFonts w:ascii="Arial" w:eastAsia="Times New Roman" w:hAnsi="Arial" w:cs="Arial"/>
          <w:color w:val="000000"/>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Secretaria General de Acuerdos quién autoriza y da fe, en la Ciudad de Oaxaca a los </w:t>
      </w:r>
      <w:r w:rsidR="00DE0738" w:rsidRPr="008E595C">
        <w:rPr>
          <w:rFonts w:ascii="Arial" w:eastAsia="Times New Roman" w:hAnsi="Arial" w:cs="Arial"/>
          <w:color w:val="000000"/>
          <w:lang w:eastAsia="es-MX"/>
        </w:rPr>
        <w:t>once</w:t>
      </w:r>
      <w:r w:rsidRPr="008E595C">
        <w:rPr>
          <w:rFonts w:ascii="Arial" w:eastAsia="Times New Roman" w:hAnsi="Arial" w:cs="Arial"/>
          <w:color w:val="000000"/>
          <w:lang w:eastAsia="es-MX"/>
        </w:rPr>
        <w:t xml:space="preserve"> días del mes de </w:t>
      </w:r>
      <w:r w:rsidR="00DE0738" w:rsidRPr="008E595C">
        <w:rPr>
          <w:rFonts w:ascii="Arial" w:eastAsia="Times New Roman" w:hAnsi="Arial" w:cs="Arial"/>
          <w:color w:val="000000"/>
          <w:lang w:eastAsia="es-MX"/>
        </w:rPr>
        <w:t>abril</w:t>
      </w:r>
      <w:r w:rsidRPr="008E595C">
        <w:rPr>
          <w:rFonts w:ascii="Arial" w:eastAsia="Times New Roman" w:hAnsi="Arial" w:cs="Arial"/>
          <w:color w:val="000000"/>
          <w:lang w:eastAsia="es-MX"/>
        </w:rPr>
        <w:t xml:space="preserve"> del año dos mil veintitrés. </w:t>
      </w:r>
      <w:r w:rsidRPr="008E595C">
        <w:rPr>
          <w:rFonts w:ascii="Arial" w:eastAsia="Times New Roman" w:hAnsi="Arial" w:cs="Arial"/>
          <w:b/>
          <w:color w:val="000000"/>
          <w:lang w:eastAsia="es-MX"/>
        </w:rPr>
        <w:t>CONSTE.</w:t>
      </w:r>
    </w:p>
    <w:p w14:paraId="192879A3" w14:textId="77777777" w:rsidR="00B815B1" w:rsidRPr="008E595C" w:rsidRDefault="00B815B1" w:rsidP="00CD2F68">
      <w:pPr>
        <w:shd w:val="clear" w:color="auto" w:fill="FFFFFF"/>
        <w:spacing w:line="276" w:lineRule="auto"/>
        <w:jc w:val="both"/>
        <w:rPr>
          <w:rFonts w:ascii="Arial" w:eastAsia="Times New Roman" w:hAnsi="Arial" w:cs="Arial"/>
          <w:b/>
          <w:color w:val="000000"/>
          <w:lang w:eastAsia="es-MX"/>
        </w:rPr>
      </w:pPr>
    </w:p>
    <w:p w14:paraId="6438B2EF" w14:textId="3FD2AE13"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106CE30D" w14:textId="77777777" w:rsidR="00462774" w:rsidRPr="008E595C" w:rsidRDefault="00462774" w:rsidP="00CD2F68">
      <w:pPr>
        <w:shd w:val="clear" w:color="auto" w:fill="FFFFFF"/>
        <w:spacing w:line="276" w:lineRule="auto"/>
        <w:jc w:val="both"/>
        <w:rPr>
          <w:rFonts w:ascii="Arial" w:eastAsia="Times New Roman" w:hAnsi="Arial" w:cs="Arial"/>
          <w:color w:val="000000"/>
          <w:lang w:eastAsia="es-MX"/>
        </w:rPr>
      </w:pPr>
    </w:p>
    <w:p w14:paraId="6E356572"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1181B277" w14:textId="77777777" w:rsidR="00CD2F68" w:rsidRPr="008E595C" w:rsidRDefault="00CD2F68" w:rsidP="00CD2F68">
      <w:pPr>
        <w:shd w:val="clear" w:color="auto" w:fill="FFFFFF"/>
        <w:spacing w:line="276" w:lineRule="auto"/>
        <w:jc w:val="center"/>
        <w:rPr>
          <w:rFonts w:ascii="Arial" w:eastAsia="Times New Roman" w:hAnsi="Arial" w:cs="Arial"/>
          <w:color w:val="000000"/>
          <w:lang w:eastAsia="es-MX"/>
        </w:rPr>
      </w:pPr>
      <w:r w:rsidRPr="008E595C">
        <w:rPr>
          <w:rFonts w:ascii="Arial" w:eastAsia="Times New Roman" w:hAnsi="Arial" w:cs="Arial"/>
          <w:color w:val="000000"/>
          <w:lang w:eastAsia="es-MX"/>
        </w:rPr>
        <w:t>C. JOSUÉ SOLANA SALMORÁN</w:t>
      </w:r>
    </w:p>
    <w:p w14:paraId="37A83002" w14:textId="77777777" w:rsidR="00CD2F68" w:rsidRPr="008E595C" w:rsidRDefault="00CD2F68" w:rsidP="00CD2F68">
      <w:pPr>
        <w:shd w:val="clear" w:color="auto" w:fill="FFFFFF"/>
        <w:spacing w:line="276" w:lineRule="auto"/>
        <w:jc w:val="center"/>
        <w:rPr>
          <w:rFonts w:ascii="Arial" w:eastAsia="Times New Roman" w:hAnsi="Arial" w:cs="Arial"/>
          <w:b/>
          <w:color w:val="000000"/>
          <w:lang w:eastAsia="es-MX"/>
        </w:rPr>
      </w:pPr>
      <w:r w:rsidRPr="008E595C">
        <w:rPr>
          <w:rFonts w:ascii="Arial" w:eastAsia="Times New Roman" w:hAnsi="Arial" w:cs="Arial"/>
          <w:b/>
          <w:color w:val="000000"/>
          <w:lang w:eastAsia="es-MX"/>
        </w:rPr>
        <w:t>COMSIONADO PRESIDENTE</w:t>
      </w:r>
    </w:p>
    <w:p w14:paraId="4A46A015"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80"/>
      </w:tblGrid>
      <w:tr w:rsidR="00CD2F68" w:rsidRPr="008E595C" w14:paraId="0E58E0EA" w14:textId="77777777" w:rsidTr="003E5C4A">
        <w:trPr>
          <w:jc w:val="center"/>
        </w:trPr>
        <w:tc>
          <w:tcPr>
            <w:tcW w:w="4248" w:type="dxa"/>
          </w:tcPr>
          <w:p w14:paraId="127819ED" w14:textId="77777777" w:rsidR="00CD2F68" w:rsidRPr="008E595C" w:rsidRDefault="00CD2F68" w:rsidP="003E5C4A">
            <w:pPr>
              <w:spacing w:line="276" w:lineRule="auto"/>
              <w:jc w:val="center"/>
              <w:rPr>
                <w:rFonts w:ascii="Arial" w:eastAsia="Times New Roman" w:hAnsi="Arial" w:cs="Arial"/>
                <w:color w:val="000000"/>
                <w:sz w:val="23"/>
                <w:szCs w:val="23"/>
                <w:lang w:eastAsia="es-MX"/>
              </w:rPr>
            </w:pPr>
          </w:p>
          <w:p w14:paraId="685C3F08" w14:textId="77777777" w:rsidR="00712F8F" w:rsidRPr="008E595C" w:rsidRDefault="00712F8F" w:rsidP="00122612">
            <w:pPr>
              <w:spacing w:line="276" w:lineRule="auto"/>
              <w:rPr>
                <w:rFonts w:ascii="Arial" w:eastAsia="Times New Roman" w:hAnsi="Arial" w:cs="Arial"/>
                <w:color w:val="000000"/>
                <w:sz w:val="23"/>
                <w:szCs w:val="23"/>
                <w:lang w:eastAsia="es-MX"/>
              </w:rPr>
            </w:pPr>
          </w:p>
          <w:p w14:paraId="778E3E2E" w14:textId="77777777" w:rsidR="00CD2F68" w:rsidRPr="008E595C" w:rsidRDefault="00CD2F68" w:rsidP="003E5C4A">
            <w:pPr>
              <w:spacing w:line="276" w:lineRule="auto"/>
              <w:jc w:val="center"/>
              <w:rPr>
                <w:rFonts w:ascii="Arial" w:eastAsia="Times New Roman" w:hAnsi="Arial" w:cs="Arial"/>
                <w:color w:val="000000"/>
                <w:sz w:val="23"/>
                <w:szCs w:val="23"/>
                <w:lang w:eastAsia="es-MX"/>
              </w:rPr>
            </w:pPr>
          </w:p>
          <w:p w14:paraId="26F469F1" w14:textId="77777777" w:rsidR="00CD2F68" w:rsidRPr="008E595C" w:rsidRDefault="00CD2F68" w:rsidP="003E5C4A">
            <w:pPr>
              <w:spacing w:line="276" w:lineRule="auto"/>
              <w:jc w:val="center"/>
              <w:rPr>
                <w:rFonts w:ascii="Arial" w:eastAsia="Times New Roman" w:hAnsi="Arial" w:cs="Arial"/>
                <w:color w:val="000000"/>
                <w:sz w:val="23"/>
                <w:szCs w:val="23"/>
                <w:lang w:eastAsia="es-MX"/>
              </w:rPr>
            </w:pPr>
            <w:r w:rsidRPr="008E595C">
              <w:rPr>
                <w:rFonts w:ascii="Arial" w:eastAsia="Times New Roman" w:hAnsi="Arial" w:cs="Arial"/>
                <w:color w:val="000000"/>
                <w:sz w:val="23"/>
                <w:szCs w:val="23"/>
                <w:lang w:eastAsia="es-MX"/>
              </w:rPr>
              <w:t>C. CLAUDIA IVETTE SOTO PINEDA</w:t>
            </w:r>
          </w:p>
          <w:p w14:paraId="09910684" w14:textId="77777777" w:rsidR="00CD2F68" w:rsidRPr="008E595C" w:rsidRDefault="00CD2F68" w:rsidP="003E5C4A">
            <w:pPr>
              <w:spacing w:line="276" w:lineRule="auto"/>
              <w:jc w:val="center"/>
              <w:rPr>
                <w:rFonts w:ascii="Arial" w:eastAsia="Times New Roman" w:hAnsi="Arial" w:cs="Arial"/>
                <w:b/>
                <w:color w:val="000000"/>
                <w:sz w:val="23"/>
                <w:szCs w:val="23"/>
                <w:lang w:eastAsia="es-MX"/>
              </w:rPr>
            </w:pPr>
            <w:r w:rsidRPr="008E595C">
              <w:rPr>
                <w:rFonts w:ascii="Arial" w:eastAsia="Times New Roman" w:hAnsi="Arial" w:cs="Arial"/>
                <w:b/>
                <w:color w:val="000000"/>
                <w:sz w:val="23"/>
                <w:szCs w:val="23"/>
                <w:lang w:eastAsia="es-MX"/>
              </w:rPr>
              <w:t>COMISIONADA</w:t>
            </w:r>
          </w:p>
        </w:tc>
        <w:tc>
          <w:tcPr>
            <w:tcW w:w="4580" w:type="dxa"/>
          </w:tcPr>
          <w:p w14:paraId="1BB39FC4" w14:textId="77777777" w:rsidR="00CD2F68" w:rsidRPr="008E595C" w:rsidRDefault="00CD2F68" w:rsidP="003E5C4A">
            <w:pPr>
              <w:spacing w:line="276" w:lineRule="auto"/>
              <w:jc w:val="center"/>
              <w:rPr>
                <w:rFonts w:ascii="Arial" w:eastAsia="Times New Roman" w:hAnsi="Arial" w:cs="Arial"/>
                <w:color w:val="000000"/>
                <w:sz w:val="23"/>
                <w:szCs w:val="23"/>
                <w:lang w:eastAsia="es-MX"/>
              </w:rPr>
            </w:pPr>
          </w:p>
          <w:p w14:paraId="1609C9DD" w14:textId="77777777" w:rsidR="00712F8F" w:rsidRPr="008E595C" w:rsidRDefault="00712F8F" w:rsidP="00122612">
            <w:pPr>
              <w:spacing w:line="276" w:lineRule="auto"/>
              <w:rPr>
                <w:rFonts w:ascii="Arial" w:eastAsia="Times New Roman" w:hAnsi="Arial" w:cs="Arial"/>
                <w:color w:val="000000"/>
                <w:sz w:val="23"/>
                <w:szCs w:val="23"/>
                <w:lang w:eastAsia="es-MX"/>
              </w:rPr>
            </w:pPr>
          </w:p>
          <w:p w14:paraId="37916E59" w14:textId="77777777" w:rsidR="00CD2F68" w:rsidRPr="008E595C" w:rsidRDefault="00CD2F68" w:rsidP="003E5C4A">
            <w:pPr>
              <w:spacing w:line="276" w:lineRule="auto"/>
              <w:jc w:val="center"/>
              <w:rPr>
                <w:rFonts w:ascii="Arial" w:eastAsia="Times New Roman" w:hAnsi="Arial" w:cs="Arial"/>
                <w:color w:val="000000"/>
                <w:sz w:val="23"/>
                <w:szCs w:val="23"/>
                <w:lang w:eastAsia="es-MX"/>
              </w:rPr>
            </w:pPr>
          </w:p>
          <w:p w14:paraId="61431097" w14:textId="77777777" w:rsidR="00CD2F68" w:rsidRPr="008E595C" w:rsidRDefault="00CD2F68" w:rsidP="003E5C4A">
            <w:pPr>
              <w:spacing w:line="276" w:lineRule="auto"/>
              <w:jc w:val="center"/>
              <w:rPr>
                <w:rFonts w:ascii="Arial" w:eastAsia="Times New Roman" w:hAnsi="Arial" w:cs="Arial"/>
                <w:color w:val="000000"/>
                <w:sz w:val="23"/>
                <w:szCs w:val="23"/>
                <w:lang w:eastAsia="es-MX"/>
              </w:rPr>
            </w:pPr>
            <w:r w:rsidRPr="008E595C">
              <w:rPr>
                <w:rFonts w:ascii="Arial" w:eastAsia="Times New Roman" w:hAnsi="Arial" w:cs="Arial"/>
                <w:color w:val="000000"/>
                <w:sz w:val="23"/>
                <w:szCs w:val="23"/>
                <w:lang w:eastAsia="es-MX"/>
              </w:rPr>
              <w:t>C. XÓCHITL ELIZABETH MÉNDEZ SÁNCHEZ</w:t>
            </w:r>
          </w:p>
          <w:p w14:paraId="64E05CE6" w14:textId="77777777" w:rsidR="00CD2F68" w:rsidRPr="008E595C" w:rsidRDefault="00CD2F68" w:rsidP="003E5C4A">
            <w:pPr>
              <w:spacing w:line="276" w:lineRule="auto"/>
              <w:jc w:val="center"/>
              <w:rPr>
                <w:rFonts w:ascii="Arial" w:eastAsia="Times New Roman" w:hAnsi="Arial" w:cs="Arial"/>
                <w:b/>
                <w:color w:val="000000"/>
                <w:sz w:val="23"/>
                <w:szCs w:val="23"/>
                <w:lang w:eastAsia="es-MX"/>
              </w:rPr>
            </w:pPr>
            <w:r w:rsidRPr="008E595C">
              <w:rPr>
                <w:rFonts w:ascii="Arial" w:eastAsia="Times New Roman" w:hAnsi="Arial" w:cs="Arial"/>
                <w:b/>
                <w:color w:val="000000"/>
                <w:sz w:val="23"/>
                <w:szCs w:val="23"/>
                <w:lang w:eastAsia="es-MX"/>
              </w:rPr>
              <w:t>COMISIONADA</w:t>
            </w:r>
          </w:p>
        </w:tc>
      </w:tr>
      <w:tr w:rsidR="00CD2F68" w:rsidRPr="008E595C" w14:paraId="0F8E1111" w14:textId="77777777" w:rsidTr="003E5C4A">
        <w:trPr>
          <w:jc w:val="center"/>
        </w:trPr>
        <w:tc>
          <w:tcPr>
            <w:tcW w:w="4248" w:type="dxa"/>
          </w:tcPr>
          <w:p w14:paraId="02B92011" w14:textId="77777777" w:rsidR="00CD2F68" w:rsidRPr="008E595C" w:rsidRDefault="00CD2F68" w:rsidP="003E5C4A">
            <w:pPr>
              <w:spacing w:line="276" w:lineRule="auto"/>
              <w:jc w:val="center"/>
              <w:rPr>
                <w:rFonts w:ascii="Arial" w:eastAsia="Times New Roman" w:hAnsi="Arial" w:cs="Arial"/>
                <w:color w:val="000000"/>
                <w:sz w:val="23"/>
                <w:szCs w:val="23"/>
                <w:lang w:eastAsia="es-MX"/>
              </w:rPr>
            </w:pPr>
          </w:p>
          <w:p w14:paraId="130FE25A" w14:textId="77777777" w:rsidR="00CD2F68" w:rsidRPr="008E595C" w:rsidRDefault="00CD2F68" w:rsidP="003E5C4A">
            <w:pPr>
              <w:spacing w:line="276" w:lineRule="auto"/>
              <w:jc w:val="center"/>
              <w:rPr>
                <w:rFonts w:ascii="Arial" w:eastAsia="Times New Roman" w:hAnsi="Arial" w:cs="Arial"/>
                <w:color w:val="000000"/>
                <w:sz w:val="23"/>
                <w:szCs w:val="23"/>
                <w:lang w:eastAsia="es-MX"/>
              </w:rPr>
            </w:pPr>
          </w:p>
          <w:p w14:paraId="2C06FA9D" w14:textId="77777777" w:rsidR="00712F8F" w:rsidRPr="008E595C" w:rsidRDefault="00712F8F" w:rsidP="00122612">
            <w:pPr>
              <w:spacing w:line="276" w:lineRule="auto"/>
              <w:rPr>
                <w:rFonts w:ascii="Arial" w:eastAsia="Times New Roman" w:hAnsi="Arial" w:cs="Arial"/>
                <w:color w:val="000000"/>
                <w:sz w:val="23"/>
                <w:szCs w:val="23"/>
                <w:lang w:eastAsia="es-MX"/>
              </w:rPr>
            </w:pPr>
          </w:p>
          <w:p w14:paraId="27E96D10" w14:textId="77777777" w:rsidR="00CD2F68" w:rsidRPr="008E595C" w:rsidRDefault="00CD2F68" w:rsidP="003E5C4A">
            <w:pPr>
              <w:spacing w:line="276" w:lineRule="auto"/>
              <w:rPr>
                <w:rFonts w:ascii="Arial" w:eastAsia="Times New Roman" w:hAnsi="Arial" w:cs="Arial"/>
                <w:color w:val="000000"/>
                <w:sz w:val="23"/>
                <w:szCs w:val="23"/>
                <w:lang w:eastAsia="es-MX"/>
              </w:rPr>
            </w:pPr>
          </w:p>
          <w:p w14:paraId="4109D175" w14:textId="77777777" w:rsidR="00CD2F68" w:rsidRPr="008E595C" w:rsidRDefault="00CD2F68" w:rsidP="003E5C4A">
            <w:pPr>
              <w:spacing w:line="276" w:lineRule="auto"/>
              <w:rPr>
                <w:rFonts w:ascii="Arial" w:eastAsia="Times New Roman" w:hAnsi="Arial" w:cs="Arial"/>
                <w:color w:val="000000"/>
                <w:sz w:val="23"/>
                <w:szCs w:val="23"/>
                <w:lang w:eastAsia="es-MX"/>
              </w:rPr>
            </w:pPr>
            <w:r w:rsidRPr="008E595C">
              <w:rPr>
                <w:rFonts w:ascii="Arial" w:eastAsia="Times New Roman" w:hAnsi="Arial" w:cs="Arial"/>
                <w:color w:val="000000"/>
                <w:sz w:val="23"/>
                <w:szCs w:val="23"/>
                <w:lang w:eastAsia="es-MX"/>
              </w:rPr>
              <w:t>C. MARÍA TANIVET RAMOS REYES</w:t>
            </w:r>
          </w:p>
          <w:p w14:paraId="30B55CC2" w14:textId="77777777" w:rsidR="00CD2F68" w:rsidRPr="008E595C" w:rsidRDefault="00CD2F68" w:rsidP="003E5C4A">
            <w:pPr>
              <w:spacing w:line="276" w:lineRule="auto"/>
              <w:jc w:val="center"/>
              <w:rPr>
                <w:rFonts w:ascii="Arial" w:eastAsia="Times New Roman" w:hAnsi="Arial" w:cs="Arial"/>
                <w:b/>
                <w:color w:val="000000"/>
                <w:sz w:val="23"/>
                <w:szCs w:val="23"/>
                <w:lang w:eastAsia="es-MX"/>
              </w:rPr>
            </w:pPr>
            <w:r w:rsidRPr="008E595C">
              <w:rPr>
                <w:rFonts w:ascii="Arial" w:eastAsia="Times New Roman" w:hAnsi="Arial" w:cs="Arial"/>
                <w:b/>
                <w:color w:val="000000"/>
                <w:sz w:val="23"/>
                <w:szCs w:val="23"/>
                <w:lang w:eastAsia="es-MX"/>
              </w:rPr>
              <w:t>COMISIONADA</w:t>
            </w:r>
          </w:p>
        </w:tc>
        <w:tc>
          <w:tcPr>
            <w:tcW w:w="4580" w:type="dxa"/>
          </w:tcPr>
          <w:p w14:paraId="38B43D7E" w14:textId="77777777" w:rsidR="00CD2F68" w:rsidRPr="008E595C" w:rsidRDefault="00CD2F68" w:rsidP="003E5C4A">
            <w:pPr>
              <w:spacing w:line="276" w:lineRule="auto"/>
              <w:jc w:val="center"/>
              <w:rPr>
                <w:rFonts w:ascii="Arial" w:eastAsia="Times New Roman" w:hAnsi="Arial" w:cs="Arial"/>
                <w:color w:val="000000"/>
                <w:sz w:val="23"/>
                <w:szCs w:val="23"/>
                <w:lang w:eastAsia="es-MX"/>
              </w:rPr>
            </w:pPr>
          </w:p>
          <w:p w14:paraId="75A7DB65" w14:textId="77777777" w:rsidR="00CD2F68" w:rsidRPr="008E595C" w:rsidRDefault="00CD2F68" w:rsidP="003E5C4A">
            <w:pPr>
              <w:spacing w:line="276" w:lineRule="auto"/>
              <w:jc w:val="center"/>
              <w:rPr>
                <w:rFonts w:ascii="Arial" w:eastAsia="Times New Roman" w:hAnsi="Arial" w:cs="Arial"/>
                <w:color w:val="000000"/>
                <w:sz w:val="23"/>
                <w:szCs w:val="23"/>
                <w:lang w:eastAsia="es-MX"/>
              </w:rPr>
            </w:pPr>
          </w:p>
          <w:p w14:paraId="067FC8BB" w14:textId="6F446767" w:rsidR="00712F8F" w:rsidRPr="008E595C" w:rsidRDefault="00712F8F" w:rsidP="00122612">
            <w:pPr>
              <w:spacing w:line="276" w:lineRule="auto"/>
              <w:rPr>
                <w:rFonts w:ascii="Arial" w:eastAsia="Times New Roman" w:hAnsi="Arial" w:cs="Arial"/>
                <w:color w:val="000000"/>
                <w:sz w:val="23"/>
                <w:szCs w:val="23"/>
                <w:lang w:eastAsia="es-MX"/>
              </w:rPr>
            </w:pPr>
          </w:p>
          <w:p w14:paraId="2E3FC079" w14:textId="77777777" w:rsidR="00712F8F" w:rsidRPr="008E595C" w:rsidRDefault="00712F8F" w:rsidP="003E5C4A">
            <w:pPr>
              <w:spacing w:line="276" w:lineRule="auto"/>
              <w:jc w:val="center"/>
              <w:rPr>
                <w:rFonts w:ascii="Arial" w:eastAsia="Times New Roman" w:hAnsi="Arial" w:cs="Arial"/>
                <w:color w:val="000000"/>
                <w:sz w:val="23"/>
                <w:szCs w:val="23"/>
                <w:lang w:eastAsia="es-MX"/>
              </w:rPr>
            </w:pPr>
          </w:p>
          <w:p w14:paraId="00CEB19A" w14:textId="77777777" w:rsidR="00CD2F68" w:rsidRPr="008E595C" w:rsidRDefault="00CD2F68" w:rsidP="003E5C4A">
            <w:pPr>
              <w:spacing w:line="276" w:lineRule="auto"/>
              <w:jc w:val="center"/>
              <w:rPr>
                <w:rFonts w:ascii="Arial" w:eastAsia="Times New Roman" w:hAnsi="Arial" w:cs="Arial"/>
                <w:color w:val="000000"/>
                <w:sz w:val="23"/>
                <w:szCs w:val="23"/>
                <w:lang w:eastAsia="es-MX"/>
              </w:rPr>
            </w:pPr>
            <w:r w:rsidRPr="008E595C">
              <w:rPr>
                <w:rFonts w:ascii="Arial" w:eastAsia="Times New Roman" w:hAnsi="Arial" w:cs="Arial"/>
                <w:color w:val="000000"/>
                <w:sz w:val="23"/>
                <w:szCs w:val="23"/>
                <w:lang w:eastAsia="es-MX"/>
              </w:rPr>
              <w:t>C. JOSÉ LUIS ECHEVERRÍA MORALES</w:t>
            </w:r>
          </w:p>
          <w:p w14:paraId="14800D61" w14:textId="77777777" w:rsidR="00CD2F68" w:rsidRPr="008E595C" w:rsidRDefault="00CD2F68" w:rsidP="003E5C4A">
            <w:pPr>
              <w:spacing w:line="276" w:lineRule="auto"/>
              <w:jc w:val="center"/>
              <w:rPr>
                <w:rFonts w:ascii="Arial" w:eastAsia="Times New Roman" w:hAnsi="Arial" w:cs="Arial"/>
                <w:b/>
                <w:color w:val="000000"/>
                <w:sz w:val="23"/>
                <w:szCs w:val="23"/>
                <w:lang w:eastAsia="es-MX"/>
              </w:rPr>
            </w:pPr>
            <w:r w:rsidRPr="008E595C">
              <w:rPr>
                <w:rFonts w:ascii="Arial" w:eastAsia="Times New Roman" w:hAnsi="Arial" w:cs="Arial"/>
                <w:b/>
                <w:color w:val="000000"/>
                <w:sz w:val="23"/>
                <w:szCs w:val="23"/>
                <w:lang w:eastAsia="es-MX"/>
              </w:rPr>
              <w:t>COMISIONADO</w:t>
            </w:r>
          </w:p>
        </w:tc>
      </w:tr>
    </w:tbl>
    <w:p w14:paraId="58317B73"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7D59CACB"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78C5D85C"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590A431F" w14:textId="77777777" w:rsidR="00CD2F68" w:rsidRPr="008E595C" w:rsidRDefault="00CD2F68" w:rsidP="00CD2F68">
      <w:pPr>
        <w:shd w:val="clear" w:color="auto" w:fill="FFFFFF"/>
        <w:spacing w:line="276" w:lineRule="auto"/>
        <w:jc w:val="both"/>
        <w:rPr>
          <w:rFonts w:ascii="Arial" w:eastAsia="Times New Roman" w:hAnsi="Arial" w:cs="Arial"/>
          <w:color w:val="000000"/>
          <w:lang w:eastAsia="es-MX"/>
        </w:rPr>
      </w:pPr>
    </w:p>
    <w:p w14:paraId="79BDE648" w14:textId="77777777" w:rsidR="00CD2F68" w:rsidRPr="008E595C" w:rsidRDefault="00CD2F68" w:rsidP="00CD2F68">
      <w:pPr>
        <w:shd w:val="clear" w:color="auto" w:fill="FFFFFF"/>
        <w:spacing w:line="276" w:lineRule="auto"/>
        <w:jc w:val="center"/>
        <w:rPr>
          <w:rFonts w:ascii="Arial" w:eastAsia="Times New Roman" w:hAnsi="Arial" w:cs="Arial"/>
          <w:color w:val="000000"/>
          <w:sz w:val="23"/>
          <w:szCs w:val="23"/>
          <w:lang w:eastAsia="es-MX"/>
        </w:rPr>
      </w:pPr>
      <w:r w:rsidRPr="008E595C">
        <w:rPr>
          <w:rFonts w:ascii="Arial" w:eastAsia="Times New Roman" w:hAnsi="Arial" w:cs="Arial"/>
          <w:color w:val="000000"/>
          <w:sz w:val="23"/>
          <w:szCs w:val="23"/>
          <w:lang w:eastAsia="es-MX"/>
        </w:rPr>
        <w:t>C. LUIS ALBERTO PAVÓN MERCADO</w:t>
      </w:r>
    </w:p>
    <w:p w14:paraId="05385930" w14:textId="77777777" w:rsidR="00CD2F68" w:rsidRPr="008E595C" w:rsidRDefault="00CD2F68" w:rsidP="00CD2F68">
      <w:pPr>
        <w:shd w:val="clear" w:color="auto" w:fill="FFFFFF"/>
        <w:spacing w:line="276" w:lineRule="auto"/>
        <w:jc w:val="center"/>
        <w:rPr>
          <w:rFonts w:ascii="Arial" w:eastAsia="Times New Roman" w:hAnsi="Arial" w:cs="Arial"/>
          <w:b/>
          <w:color w:val="000000"/>
          <w:sz w:val="23"/>
          <w:szCs w:val="23"/>
          <w:lang w:eastAsia="es-MX"/>
        </w:rPr>
      </w:pPr>
      <w:r w:rsidRPr="008E595C">
        <w:rPr>
          <w:rFonts w:ascii="Arial" w:eastAsia="Times New Roman" w:hAnsi="Arial" w:cs="Arial"/>
          <w:b/>
          <w:color w:val="000000"/>
          <w:sz w:val="23"/>
          <w:szCs w:val="23"/>
          <w:lang w:eastAsia="es-MX"/>
        </w:rPr>
        <w:t>SECRETARIO GENERAL DE ACUERDOS</w:t>
      </w:r>
    </w:p>
    <w:p w14:paraId="5DC231D2" w14:textId="77777777" w:rsidR="00CD2F68" w:rsidRPr="008E595C" w:rsidRDefault="00CD2F68" w:rsidP="00CD2F68">
      <w:pPr>
        <w:shd w:val="clear" w:color="auto" w:fill="FFFFFF"/>
        <w:spacing w:line="276" w:lineRule="auto"/>
        <w:jc w:val="both"/>
        <w:rPr>
          <w:rFonts w:ascii="Arial" w:eastAsia="Times New Roman" w:hAnsi="Arial" w:cs="Arial"/>
          <w:b/>
          <w:color w:val="000000"/>
          <w:sz w:val="16"/>
          <w:szCs w:val="16"/>
          <w:lang w:eastAsia="es-MX"/>
        </w:rPr>
      </w:pPr>
    </w:p>
    <w:p w14:paraId="7DFE25A5" w14:textId="77777777" w:rsidR="00CD2F68" w:rsidRPr="008E595C" w:rsidRDefault="00CD2F68" w:rsidP="00CD2F68">
      <w:pPr>
        <w:shd w:val="clear" w:color="auto" w:fill="FFFFFF"/>
        <w:spacing w:line="276" w:lineRule="auto"/>
        <w:jc w:val="both"/>
        <w:rPr>
          <w:rFonts w:ascii="Arial" w:eastAsia="Times New Roman" w:hAnsi="Arial" w:cs="Arial"/>
          <w:b/>
          <w:color w:val="000000"/>
          <w:sz w:val="16"/>
          <w:szCs w:val="16"/>
          <w:lang w:eastAsia="es-MX"/>
        </w:rPr>
      </w:pPr>
    </w:p>
    <w:p w14:paraId="4FFB14E7" w14:textId="77777777" w:rsidR="00551EA4" w:rsidRPr="008E595C" w:rsidRDefault="00551EA4" w:rsidP="00D84547">
      <w:pPr>
        <w:shd w:val="clear" w:color="auto" w:fill="FFFFFF"/>
        <w:spacing w:line="276" w:lineRule="auto"/>
        <w:jc w:val="both"/>
        <w:rPr>
          <w:rFonts w:ascii="Arial" w:eastAsia="Times New Roman" w:hAnsi="Arial" w:cs="Arial"/>
          <w:b/>
          <w:color w:val="000000"/>
          <w:sz w:val="16"/>
          <w:szCs w:val="16"/>
          <w:lang w:eastAsia="es-MX"/>
        </w:rPr>
      </w:pPr>
    </w:p>
    <w:p w14:paraId="1F34D96A" w14:textId="77777777" w:rsidR="00551EA4" w:rsidRPr="008E595C" w:rsidRDefault="00551EA4" w:rsidP="00D84547">
      <w:pPr>
        <w:shd w:val="clear" w:color="auto" w:fill="FFFFFF"/>
        <w:spacing w:line="276" w:lineRule="auto"/>
        <w:jc w:val="both"/>
        <w:rPr>
          <w:rFonts w:ascii="Arial" w:eastAsia="Times New Roman" w:hAnsi="Arial" w:cs="Arial"/>
          <w:b/>
          <w:color w:val="000000"/>
          <w:sz w:val="16"/>
          <w:szCs w:val="16"/>
          <w:lang w:eastAsia="es-MX"/>
        </w:rPr>
      </w:pPr>
    </w:p>
    <w:p w14:paraId="21ECAE9D" w14:textId="77777777" w:rsidR="00551EA4" w:rsidRPr="008E595C" w:rsidRDefault="00551EA4" w:rsidP="00D84547">
      <w:pPr>
        <w:shd w:val="clear" w:color="auto" w:fill="FFFFFF"/>
        <w:spacing w:line="276" w:lineRule="auto"/>
        <w:jc w:val="both"/>
        <w:rPr>
          <w:rFonts w:ascii="Arial" w:eastAsia="Times New Roman" w:hAnsi="Arial" w:cs="Arial"/>
          <w:b/>
          <w:color w:val="000000"/>
          <w:sz w:val="16"/>
          <w:szCs w:val="16"/>
          <w:lang w:eastAsia="es-MX"/>
        </w:rPr>
      </w:pPr>
    </w:p>
    <w:p w14:paraId="270C9A09" w14:textId="389C5C55" w:rsidR="008E0A82" w:rsidRPr="00551EA4" w:rsidRDefault="00CD2F68" w:rsidP="00D84547">
      <w:pPr>
        <w:shd w:val="clear" w:color="auto" w:fill="FFFFFF"/>
        <w:spacing w:line="276" w:lineRule="auto"/>
        <w:jc w:val="both"/>
        <w:rPr>
          <w:rFonts w:ascii="Arial" w:eastAsia="Times New Roman" w:hAnsi="Arial" w:cs="Arial"/>
          <w:b/>
          <w:color w:val="000000"/>
          <w:sz w:val="16"/>
          <w:szCs w:val="16"/>
          <w:lang w:eastAsia="es-MX"/>
        </w:rPr>
      </w:pPr>
      <w:r w:rsidRPr="008E595C">
        <w:rPr>
          <w:rFonts w:ascii="Arial" w:eastAsia="Times New Roman" w:hAnsi="Arial" w:cs="Arial"/>
          <w:b/>
          <w:color w:val="000000"/>
          <w:sz w:val="16"/>
          <w:szCs w:val="16"/>
          <w:lang w:eastAsia="es-MX"/>
        </w:rPr>
        <w:t xml:space="preserve">ESTA HOJA FORMA PARTE INTEGRA DEL ACUERDO NÚMERO </w:t>
      </w:r>
      <w:r w:rsidR="00551EA4" w:rsidRPr="008E595C">
        <w:rPr>
          <w:rFonts w:ascii="Arial" w:eastAsia="Times New Roman" w:hAnsi="Arial" w:cs="Arial"/>
          <w:b/>
          <w:color w:val="000000"/>
          <w:sz w:val="16"/>
          <w:szCs w:val="16"/>
          <w:lang w:eastAsia="es-MX"/>
        </w:rPr>
        <w:t>OGAIPO/CG/0</w:t>
      </w:r>
      <w:r w:rsidR="00632490" w:rsidRPr="008E595C">
        <w:rPr>
          <w:rFonts w:ascii="Arial" w:eastAsia="Times New Roman" w:hAnsi="Arial" w:cs="Arial"/>
          <w:b/>
          <w:color w:val="000000"/>
          <w:sz w:val="16"/>
          <w:szCs w:val="16"/>
          <w:lang w:eastAsia="es-MX"/>
        </w:rPr>
        <w:t>31</w:t>
      </w:r>
      <w:r w:rsidR="00551EA4" w:rsidRPr="008E595C">
        <w:rPr>
          <w:rFonts w:ascii="Arial" w:eastAsia="Times New Roman" w:hAnsi="Arial" w:cs="Arial"/>
          <w:b/>
          <w:color w:val="000000"/>
          <w:sz w:val="16"/>
          <w:szCs w:val="16"/>
          <w:lang w:eastAsia="es-MX"/>
        </w:rPr>
        <w:t xml:space="preserve">/2023 QUE EMITE EL CONSEJO GENERAL DEL </w:t>
      </w:r>
      <w:r w:rsidR="00551EA4" w:rsidRPr="008E595C">
        <w:rPr>
          <w:rFonts w:ascii="Arial" w:eastAsia="Times New Roman" w:hAnsi="Arial" w:cs="Arial"/>
          <w:b/>
          <w:bCs/>
          <w:color w:val="000000"/>
          <w:sz w:val="16"/>
          <w:szCs w:val="16"/>
          <w:lang w:eastAsia="es-MX"/>
        </w:rPr>
        <w:t xml:space="preserve">ÓRGANO GARANTE DE ACCESO A LA INFORMACIÓN PÚBLICA, TRANSPARENCIA, PROTECCIÓN DE DATOS PERSONALES Y BUEN GOBIERNO DEL ESTADO DE OAXACA, </w:t>
      </w:r>
      <w:r w:rsidR="005E3520" w:rsidRPr="008E595C">
        <w:rPr>
          <w:rFonts w:ascii="Arial" w:eastAsia="Times New Roman" w:hAnsi="Arial" w:cs="Arial"/>
          <w:b/>
          <w:bCs/>
          <w:color w:val="000000"/>
          <w:sz w:val="16"/>
          <w:szCs w:val="16"/>
          <w:lang w:eastAsia="es-MX"/>
        </w:rPr>
        <w:t>MEDIANTE EL CUAL, APRUEBA EL CATÁLOGO DE INFORMACIÓN DE INTERÉS PÚBLICO QUE DEBERÁN DE PUBLICAR LOS SUJETOS OBLIGADOS DEL ESTADO DE OAXACA, CORRESPONDIENTE AL EJERCICIO 2022.</w:t>
      </w:r>
    </w:p>
    <w:sectPr w:rsidR="008E0A82" w:rsidRPr="00551EA4" w:rsidSect="00122612">
      <w:headerReference w:type="default" r:id="rId8"/>
      <w:footerReference w:type="even" r:id="rId9"/>
      <w:footerReference w:type="default" r:id="rId10"/>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18820" w14:textId="77777777" w:rsidR="0023395B" w:rsidRDefault="0023395B" w:rsidP="00505074">
      <w:r>
        <w:separator/>
      </w:r>
    </w:p>
  </w:endnote>
  <w:endnote w:type="continuationSeparator" w:id="0">
    <w:p w14:paraId="592B3896" w14:textId="77777777" w:rsidR="0023395B" w:rsidRDefault="0023395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73658061"/>
      <w:docPartObj>
        <w:docPartGallery w:val="Page Numbers (Bottom of Page)"/>
        <w:docPartUnique/>
      </w:docPartObj>
    </w:sdtPr>
    <w:sdtEndPr>
      <w:rPr>
        <w:rStyle w:val="Nmerodepgina"/>
      </w:rPr>
    </w:sdtEndPr>
    <w:sdtContent>
      <w:p w14:paraId="136B2676" w14:textId="2E3456BE" w:rsidR="00EF197C" w:rsidRDefault="00EF197C" w:rsidP="003E5C4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FDD2F44" w14:textId="77777777" w:rsidR="00EF197C" w:rsidRDefault="00EF19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766791"/>
      <w:docPartObj>
        <w:docPartGallery w:val="Page Numbers (Bottom of Page)"/>
        <w:docPartUnique/>
      </w:docPartObj>
    </w:sdtPr>
    <w:sdtEndPr/>
    <w:sdtContent>
      <w:p w14:paraId="7DF2B302" w14:textId="6FEB6FFF" w:rsidR="00EF197C" w:rsidRDefault="00122612">
        <w:pPr>
          <w:pStyle w:val="Piedepgina"/>
        </w:pPr>
        <w:r>
          <w:rPr>
            <w:noProof/>
          </w:rPr>
          <mc:AlternateContent>
            <mc:Choice Requires="wps">
              <w:drawing>
                <wp:anchor distT="0" distB="0" distL="114300" distR="114300" simplePos="0" relativeHeight="251682816" behindDoc="0" locked="0" layoutInCell="1" allowOverlap="1" wp14:anchorId="5979E4C4" wp14:editId="68D0AD84">
                  <wp:simplePos x="0" y="0"/>
                  <wp:positionH relativeFrom="margin">
                    <wp:align>center</wp:align>
                  </wp:positionH>
                  <wp:positionV relativeFrom="bottomMargin">
                    <wp:align>center</wp:align>
                  </wp:positionV>
                  <wp:extent cx="551815" cy="238760"/>
                  <wp:effectExtent l="19050" t="19050" r="19685" b="18415"/>
                  <wp:wrapNone/>
                  <wp:docPr id="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A5014BC" w14:textId="77777777" w:rsidR="00122612" w:rsidRDefault="00122612">
                              <w:pPr>
                                <w:jc w:val="center"/>
                              </w:pPr>
                              <w:r>
                                <w:fldChar w:fldCharType="begin"/>
                              </w:r>
                              <w:r>
                                <w:instrText>PAGE    \* MERGEFORMAT</w:instrText>
                              </w:r>
                              <w:r>
                                <w:fldChar w:fldCharType="separate"/>
                              </w:r>
                              <w:r>
                                <w:rPr>
                                  <w:lang w:val="es-ES"/>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979E4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6" type="#_x0000_t185" style="position:absolute;margin-left:0;margin-top:0;width:43.45pt;height:18.8pt;z-index:25168281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OYnnew2AgAAZQQAAA4AAAAAAAAAAAAA&#10;AAAALgIAAGRycy9lMm9Eb2MueG1sUEsBAi0AFAAGAAgAAAAhAP8vKureAAAAAwEAAA8AAAAAAAAA&#10;AAAAAAAAkAQAAGRycy9kb3ducmV2LnhtbFBLBQYAAAAABAAEAPMAAACbBQAAAAA=&#10;" filled="t" strokecolor="gray" strokeweight="2.25pt">
                  <v:textbox inset=",0,,0">
                    <w:txbxContent>
                      <w:p w14:paraId="1A5014BC" w14:textId="77777777" w:rsidR="00122612" w:rsidRDefault="00122612">
                        <w:pPr>
                          <w:jc w:val="center"/>
                        </w:pPr>
                        <w:r>
                          <w:fldChar w:fldCharType="begin"/>
                        </w:r>
                        <w:r>
                          <w:instrText>PAGE    \* MERGEFORMAT</w:instrText>
                        </w:r>
                        <w:r>
                          <w:fldChar w:fldCharType="separate"/>
                        </w:r>
                        <w:r>
                          <w:rPr>
                            <w:lang w:val="es-ES"/>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81792" behindDoc="0" locked="0" layoutInCell="1" allowOverlap="1" wp14:anchorId="344A1D3A" wp14:editId="1BC38BB3">
                  <wp:simplePos x="0" y="0"/>
                  <wp:positionH relativeFrom="margin">
                    <wp:align>center</wp:align>
                  </wp:positionH>
                  <wp:positionV relativeFrom="bottomMargin">
                    <wp:align>center</wp:align>
                  </wp:positionV>
                  <wp:extent cx="5518150" cy="0"/>
                  <wp:effectExtent l="9525" t="9525" r="6350" b="95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15B6B36" id="_x0000_t32" coordsize="21600,21600" o:spt="32" o:oned="t" path="m,l21600,21600e" filled="f">
                  <v:path arrowok="t" fillok="f" o:connecttype="none"/>
                  <o:lock v:ext="edit" shapetype="t"/>
                </v:shapetype>
                <v:shape id="Conector recto de flecha 1" o:spid="_x0000_s1026" type="#_x0000_t32" style="position:absolute;margin-left:0;margin-top:0;width:434.5pt;height:0;z-index:25168179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Ffpkp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9521" w14:textId="77777777" w:rsidR="0023395B" w:rsidRDefault="0023395B" w:rsidP="00505074">
      <w:r>
        <w:separator/>
      </w:r>
    </w:p>
  </w:footnote>
  <w:footnote w:type="continuationSeparator" w:id="0">
    <w:p w14:paraId="47394952" w14:textId="77777777" w:rsidR="0023395B" w:rsidRDefault="0023395B" w:rsidP="00505074">
      <w:r>
        <w:continuationSeparator/>
      </w:r>
    </w:p>
  </w:footnote>
  <w:footnote w:id="1">
    <w:p w14:paraId="449CCFC0" w14:textId="26FC5873" w:rsidR="00F963C2" w:rsidRPr="008E595C" w:rsidRDefault="00F963C2" w:rsidP="00F963C2">
      <w:pPr>
        <w:pStyle w:val="Textonotapie"/>
        <w:jc w:val="both"/>
        <w:rPr>
          <w:rFonts w:ascii="Arial" w:hAnsi="Arial" w:cs="Arial"/>
          <w:sz w:val="14"/>
          <w:szCs w:val="14"/>
        </w:rPr>
      </w:pPr>
      <w:r w:rsidRPr="008E595C">
        <w:rPr>
          <w:rStyle w:val="Refdenotaalpie"/>
          <w:rFonts w:ascii="Arial" w:hAnsi="Arial" w:cs="Arial"/>
          <w:sz w:val="14"/>
          <w:szCs w:val="14"/>
        </w:rPr>
        <w:footnoteRef/>
      </w:r>
      <w:r w:rsidRPr="008E595C">
        <w:rPr>
          <w:rFonts w:ascii="Arial" w:hAnsi="Arial" w:cs="Arial"/>
          <w:sz w:val="14"/>
          <w:szCs w:val="14"/>
        </w:rPr>
        <w:t xml:space="preserve"> Con la reforma acaecida en fecha veintitrés de noviembre del dos mil veintidós, publicada en el Periódico Oficial del Estado por medio del Decreto 731, </w:t>
      </w:r>
      <w:r w:rsidRPr="008E595C">
        <w:rPr>
          <w:rFonts w:ascii="Arial" w:hAnsi="Arial" w:cs="Arial"/>
          <w:bCs/>
          <w:sz w:val="14"/>
          <w:szCs w:val="14"/>
        </w:rPr>
        <w:t>por medio de la que se reformaron los artículos: 27 fracciones I, II, IV, VIII, IX, X, XI, XIV, XV, XVII Y XVIII, 33 fracción II y 49 de la Ley Orgánica del Poder Ejecutivo del Estado de Oaxaca, se modificó la nomenclatura de la Secretaria de la Contraloría y Transparencia Gubernamental pasando a ser la Secretaría de Honestidad, Transparencia y Función Pública.</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F284" w14:textId="06E3847A" w:rsidR="00EF197C" w:rsidRDefault="00EF197C">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A1FEFC"/>
    <w:multiLevelType w:val="hybridMultilevel"/>
    <w:tmpl w:val="DFE4D91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745B6"/>
    <w:multiLevelType w:val="multilevel"/>
    <w:tmpl w:val="24D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92B2"/>
    <w:multiLevelType w:val="hybridMultilevel"/>
    <w:tmpl w:val="4BAD85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490620C"/>
    <w:multiLevelType w:val="hybridMultilevel"/>
    <w:tmpl w:val="9A2792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F631786"/>
    <w:multiLevelType w:val="hybridMultilevel"/>
    <w:tmpl w:val="63C61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6883497A"/>
    <w:multiLevelType w:val="hybridMultilevel"/>
    <w:tmpl w:val="3E2E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91F360"/>
    <w:multiLevelType w:val="hybridMultilevel"/>
    <w:tmpl w:val="DECF49E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C97E75"/>
    <w:multiLevelType w:val="hybridMultilevel"/>
    <w:tmpl w:val="B0E00A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6072C2B"/>
    <w:multiLevelType w:val="hybridMultilevel"/>
    <w:tmpl w:val="3E2EF5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2"/>
  </w:num>
  <w:num w:numId="5">
    <w:abstractNumId w:val="6"/>
  </w:num>
  <w:num w:numId="6">
    <w:abstractNumId w:val="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884"/>
    <w:rsid w:val="00010BE3"/>
    <w:rsid w:val="00075AB7"/>
    <w:rsid w:val="000A4D40"/>
    <w:rsid w:val="000C136A"/>
    <w:rsid w:val="000E342E"/>
    <w:rsid w:val="00122612"/>
    <w:rsid w:val="00150315"/>
    <w:rsid w:val="00156244"/>
    <w:rsid w:val="0016702B"/>
    <w:rsid w:val="00184054"/>
    <w:rsid w:val="00191709"/>
    <w:rsid w:val="001C3A24"/>
    <w:rsid w:val="001C5977"/>
    <w:rsid w:val="001D30EE"/>
    <w:rsid w:val="001D6DC1"/>
    <w:rsid w:val="00202438"/>
    <w:rsid w:val="002060F1"/>
    <w:rsid w:val="002152DD"/>
    <w:rsid w:val="00220E87"/>
    <w:rsid w:val="0023395B"/>
    <w:rsid w:val="00274D25"/>
    <w:rsid w:val="00283C15"/>
    <w:rsid w:val="002C54D1"/>
    <w:rsid w:val="002D152B"/>
    <w:rsid w:val="00320B59"/>
    <w:rsid w:val="00331BD3"/>
    <w:rsid w:val="00360000"/>
    <w:rsid w:val="0037163E"/>
    <w:rsid w:val="003847A1"/>
    <w:rsid w:val="003E5C4A"/>
    <w:rsid w:val="003F7C21"/>
    <w:rsid w:val="00421559"/>
    <w:rsid w:val="004529E7"/>
    <w:rsid w:val="0045431A"/>
    <w:rsid w:val="00462774"/>
    <w:rsid w:val="00493EEF"/>
    <w:rsid w:val="00496B6A"/>
    <w:rsid w:val="004E7690"/>
    <w:rsid w:val="00505074"/>
    <w:rsid w:val="00515365"/>
    <w:rsid w:val="00551EA4"/>
    <w:rsid w:val="00556769"/>
    <w:rsid w:val="00574C68"/>
    <w:rsid w:val="005A351E"/>
    <w:rsid w:val="005A4CAE"/>
    <w:rsid w:val="005A4F98"/>
    <w:rsid w:val="005B5E62"/>
    <w:rsid w:val="005E13EA"/>
    <w:rsid w:val="005E3520"/>
    <w:rsid w:val="005F6794"/>
    <w:rsid w:val="0061401C"/>
    <w:rsid w:val="006258E0"/>
    <w:rsid w:val="00632490"/>
    <w:rsid w:val="006632A1"/>
    <w:rsid w:val="006647D2"/>
    <w:rsid w:val="00674C8A"/>
    <w:rsid w:val="006E4138"/>
    <w:rsid w:val="00712F8F"/>
    <w:rsid w:val="00731FAE"/>
    <w:rsid w:val="00732F5E"/>
    <w:rsid w:val="00733528"/>
    <w:rsid w:val="007424C9"/>
    <w:rsid w:val="007D60EA"/>
    <w:rsid w:val="007E650E"/>
    <w:rsid w:val="00801920"/>
    <w:rsid w:val="00827917"/>
    <w:rsid w:val="00827AE5"/>
    <w:rsid w:val="008E0A82"/>
    <w:rsid w:val="008E595C"/>
    <w:rsid w:val="009025DC"/>
    <w:rsid w:val="009100C6"/>
    <w:rsid w:val="00920943"/>
    <w:rsid w:val="0098469C"/>
    <w:rsid w:val="009A3B6E"/>
    <w:rsid w:val="009D7B7D"/>
    <w:rsid w:val="009E20E2"/>
    <w:rsid w:val="009F0190"/>
    <w:rsid w:val="009F3C23"/>
    <w:rsid w:val="00A31065"/>
    <w:rsid w:val="00A56332"/>
    <w:rsid w:val="00A710FD"/>
    <w:rsid w:val="00AC506E"/>
    <w:rsid w:val="00B21F95"/>
    <w:rsid w:val="00B55D4E"/>
    <w:rsid w:val="00B56B38"/>
    <w:rsid w:val="00B815B1"/>
    <w:rsid w:val="00B9470E"/>
    <w:rsid w:val="00B97367"/>
    <w:rsid w:val="00C07082"/>
    <w:rsid w:val="00C25E29"/>
    <w:rsid w:val="00C335F7"/>
    <w:rsid w:val="00CB7833"/>
    <w:rsid w:val="00CC05E7"/>
    <w:rsid w:val="00CD2F68"/>
    <w:rsid w:val="00CE080C"/>
    <w:rsid w:val="00D16F01"/>
    <w:rsid w:val="00D24ED8"/>
    <w:rsid w:val="00D73CFE"/>
    <w:rsid w:val="00D84547"/>
    <w:rsid w:val="00D96B13"/>
    <w:rsid w:val="00DB0816"/>
    <w:rsid w:val="00DB5BE4"/>
    <w:rsid w:val="00DB750E"/>
    <w:rsid w:val="00DC0B0F"/>
    <w:rsid w:val="00DC1402"/>
    <w:rsid w:val="00DC65C4"/>
    <w:rsid w:val="00DE0738"/>
    <w:rsid w:val="00E03CF7"/>
    <w:rsid w:val="00E20C1D"/>
    <w:rsid w:val="00E4352C"/>
    <w:rsid w:val="00E84812"/>
    <w:rsid w:val="00EA09D0"/>
    <w:rsid w:val="00EE066A"/>
    <w:rsid w:val="00EE48C4"/>
    <w:rsid w:val="00EF197C"/>
    <w:rsid w:val="00F023FE"/>
    <w:rsid w:val="00F314BA"/>
    <w:rsid w:val="00F34A55"/>
    <w:rsid w:val="00F36284"/>
    <w:rsid w:val="00F4303C"/>
    <w:rsid w:val="00F56106"/>
    <w:rsid w:val="00F56F58"/>
    <w:rsid w:val="00F6330E"/>
    <w:rsid w:val="00F854FE"/>
    <w:rsid w:val="00F963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A82"/>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E0A82"/>
    <w:pPr>
      <w:ind w:left="720"/>
      <w:contextualSpacing/>
    </w:pPr>
  </w:style>
  <w:style w:type="table" w:styleId="Tablaconcuadrcula">
    <w:name w:val="Table Grid"/>
    <w:basedOn w:val="Tablanormal"/>
    <w:uiPriority w:val="39"/>
    <w:unhideWhenUsed/>
    <w:rsid w:val="008E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F56106"/>
  </w:style>
  <w:style w:type="paragraph" w:styleId="Textonotapie">
    <w:name w:val="footnote text"/>
    <w:basedOn w:val="Normal"/>
    <w:link w:val="TextonotapieCar"/>
    <w:uiPriority w:val="99"/>
    <w:semiHidden/>
    <w:unhideWhenUsed/>
    <w:rsid w:val="00F963C2"/>
    <w:rPr>
      <w:sz w:val="20"/>
      <w:szCs w:val="20"/>
    </w:rPr>
  </w:style>
  <w:style w:type="character" w:customStyle="1" w:styleId="TextonotapieCar">
    <w:name w:val="Texto nota pie Car"/>
    <w:basedOn w:val="Fuentedeprrafopredeter"/>
    <w:link w:val="Textonotapie"/>
    <w:uiPriority w:val="99"/>
    <w:semiHidden/>
    <w:rsid w:val="00F963C2"/>
    <w:rPr>
      <w:sz w:val="20"/>
      <w:szCs w:val="20"/>
    </w:rPr>
  </w:style>
  <w:style w:type="character" w:styleId="Refdenotaalpie">
    <w:name w:val="footnote reference"/>
    <w:basedOn w:val="Fuentedeprrafopredeter"/>
    <w:uiPriority w:val="99"/>
    <w:semiHidden/>
    <w:unhideWhenUsed/>
    <w:rsid w:val="00F96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194274639">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343363609">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0A18-2F4D-4FBF-A7A1-96BCAB8A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2397</Words>
  <Characters>13187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Hector Eduardo Ruiz Serrano</cp:lastModifiedBy>
  <cp:revision>10</cp:revision>
  <cp:lastPrinted>2021-11-03T21:04:00Z</cp:lastPrinted>
  <dcterms:created xsi:type="dcterms:W3CDTF">2023-03-30T06:47:00Z</dcterms:created>
  <dcterms:modified xsi:type="dcterms:W3CDTF">2023-04-11T18:48:00Z</dcterms:modified>
</cp:coreProperties>
</file>